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Tas, ka reformas lietderības argumentācija ir nepietiekama, liecina apstāklis, ka FM sagatavotais informatīvais ziņojums MK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Darbinieku skaits neatspoguļo reālās LB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turklāt atceļot MK noteikumus un deleģējot LB izdot savus noteikumus,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"4. Šā likuma 7. panta ceturtā daļa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Pantam paliekot pašreizējā redakcijā, ir skaidri un nepārprotami jānorāda budžeta finansējums ierosināto lietu pabeigšanai vismaz 1 gada garumā, lai nodrošinātu ierosinātu lietu izskatīšanu. Pretējā gadījumā PTAC nebūs darbinieku un resursu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sniegts pietiekams praktiskās ietekmes izvērtējums par institucionālās reformas sekām, aprobežojoties ar norādi uz iepriekš pieņemtu politisku lēmumu un informatīvā ziņojuma izskatīšanu. Politisks lēmums par reformas virzību pats par sevi neatbild uz jautājumu, kā šī reforma mainīs regulējuma piemērošanu praksē, un nevar aizstāt tiesību aktu anotācijā veicamo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skaidri izklāstīts: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tieši mainīsies uzraudzības organizācija un uzraudzības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izmaiņas normu piemērošanā un uzraudzības praksē piedzīvos tirgus dalībnieki un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iespējamie riski un blakus efekti ir identificēti un kā tie tiks pārvaldīti.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anotācija neatbild uz šiem jautājumiem, līdz ar to nav iespējams objektīvi izvērtēt reformas faktiskās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anotācijā nav pietiekami pamatots apgalvojums, ka regulējums pēc būtības nemainās, ja tiek mainīta kompetentā uzraudzības iestāde. Tiesību normas netiek piemērotas abstrakti, bet konkrētas institūcijas interpretācijas, uzraudzības pieejas, iekšējo vadlīniju un sankciju prakses ietvaros. Institucionāla maiņa objektīvi ietekmē regulējuma darbību, pat ja normu teksts formāli netiek grozīts.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īpaši uztur iebildumu par Finanšu ministrijas skaidrojumu attiecībā uz Latvijas Bankas noteikumiem, jo anotācijā un izziņā nav skaidrots, kā praktiski tiks nodrošināta politikas veidotāja iespēja ietekmēt regulējuma saturu, ja normatīvais regulējums tiks īstenots ar Latvijas Bankas ārējiem normatīvajiem aktiem. Latvijas Bankas noteikumi nav pakļauti Ekonomikas ministrijas saskaņošanai, līdz ar to anotācijā ir jāsniedz skaidras atbildes uz šādiem jautājumiem: – kādā veidā Ekonomikas ministrija kā politikas veidotājs praksē varēs ietekmēt regulējuma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risinātas būtiskas domstarpības starp politikas veidotāja nostāju un Latvijas Bankas pieņemto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nodrošināta politiskā atbildība par patērētāju tiesību aizsardzības politikas īstenošanu situācijā, kad saistošais regulējums tiek noteikts ārpus Ministru kabineta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ka anotācijas 1.3. sadaļā nav izvērtētas alternatīvas piedāvātajam regulējumam konkrēto likumprojektu ietvaros. Atsauce uz agrāk veiktu konceptuālu izvērtējumu informatīvajā ziņojumā nenodrošina atbildi uz jautājumu, vai izvēlētais risinājums ir samērīgākais un piemērotākais katrai tiesību jomai, kuru skar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sagaida, lai anotācijā tiktu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apsvērti diferencēti vai pakāpeniski risinājumi atsevišķām regulējuma jomām (piemēram, reklāmas, procesuālo normu vai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netika izvērtēta iespēja saglabāt noteiktus lēmumus Ministru kabineta līmenī, nevis pilnībā deleģēt tos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kādēļ izvēlētais risinājums ir uzskatāms par mazāk ierobežojošu salīdzinājumā ar iespējamām alternatīvām.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analīzes nav iespējams pamatot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ex-post novērtēšanas resursi jākoncentrē uz augstas ietekmes regulējumiem, jo pretējā gadījumā novērtēšana pati var kļūt nesamērīga un administratīvo slogu radoša. Šai gadījumā izmaiņām regulējumā nav tik būtiska rakstura, lai būtu lietderīgi veikt tā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šādam vērtējumam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lai objektīvi novērtētu, vai regulējuma mērķi ir sasniegti un vai nav radušās neparedzētas vai nesamērīgas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07.05.2026.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07.05.2026.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