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š.g. 10.jūnija sēdē tika izskatīts Satiksmes ministrijas (SM) sagatavotais informatīvais ziņojums “Par dzelzceļa nozares kapitālsabiedrību integrāciju” (25-TA-189), kurā, citastarp, paredzēts Rīgas Centrālās dzelzceļa stacijas (RCS) projekta īstenošanā piesaistīt sadarbības partneri – valsts akciju sabiedrību “Latvijas dzelzceļš” (LDz), attiecīgi veicot grozījumus investīcijas īstenošanas noteikumos. Vienlaikus, līdzšinējā savstarpējā komunikācijā Finanšu ministrija jau uzsvērusi nepieciešamību SM nodrošināt nekavējošu, koordinētu un operatīvu rīcību minētā uzdevuma izpildei un LDz kā partnera iesaistei RCS projektā, tai skaitā ņemot vērā, ka izstrādes/saskaņošanas procesā ir līgums par RCS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noteikumu projektu papildināt arī ar šo aspektu, proti, papildus iekļaujot grozījumus, kas paredz risinājumus un nepieciešamos nosacījumus, sadarbības modeli sekmīgai projekta īstenošanai, t.sk. LDz kā sadarbības partnera iekļaušanai RCS projektā, anotācijā pamatojot konkrētu risinājuma aprakstu pēc būtības, t.i. plānoto LDz iesaistes tvērumu, lomu un nosacījumus, t.sk. konkrētus identificētos riskus un attiecīgi plānoto rīcību risku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šis ir viens no riskantākajiem liela apjoma projektiem, kur risinājums rodams ierobežotā termiņā un kam būtiska operatīva komunikācija, sadarbība un vienota izpratne visās iesaistītajās pusēs, aicinām SM izvērtēt iespēju paredzēt augsta līmeņa projekta pārvaldības/uzraudzības formātu regulārai ikmēneša/ceturkšņa RCS projekta ieviešanas uzraudzībai.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13.15. sabiedriskā transporta pasažieru pārvadājumu izmaksas pārvadātāju reisu izpildes nodrošināšanai, ja vilcienu pasažieru pārvadājumi tiek aizstāti uz laiku ar autobusu pārvadājumiem.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11. aprīļa noteikumu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 (turpmāk – MK noteikumi) 3.</w:t>
            </w:r>
            <w:r w:rsidR="00000000" w:rsidRPr="00000000" w:rsidDel="00000000">
              <w:rPr>
                <w:vertAlign w:val="superscript"/>
                <w:rtl w:val="0"/>
              </w:rPr>
              <w:t xml:space="preserve">1</w:t>
            </w:r>
            <w:r w:rsidR="00000000" w:rsidRPr="00000000" w:rsidDel="00000000">
              <w:rPr>
                <w:rtl w:val="0"/>
              </w:rPr>
              <w:t xml:space="preserve"> punktā kā finansējuma saņēmēji ir noteikti VAS "Latvijas dzelzceļš" un SIA "EIROPAS DZELZCEĻA LĪNIJAS", savukārt 13.15. apakšpunkts paredz attiecināt kompensāciju par pasažieru pārvadāšanu sabiedriskā pakalpojuma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Pasažieru pārvadāšanu pa dzelzceļu nodrošina AS “Pasažieru vilciens” ar VSIA “Autotransporta direkcija” noslēgta sabiedrisko pasažieru pārvadājumu līguma ietvaros; pasažieru pārvadātāja izvēle notiek un kompensācijas apmērs tiek noteikts, ievērojot Eiropas Parlamenta un Padomes 2007. gada 23. oktobra regulas (EK) Nr. 1370/2007 par sabiedriskā pasažieru transporta pakalpojumiem, izmantojot dzelzceļu un autoceļus, un ar ko atceļ Padomes regulu (EEK) Nr. 1191/69 un Padomes regulu (EEK) Nr. 1107/70 (turpmāk – Regula Nr. 1370/2007)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runa MK noteikumu 13.15.apakšpunktā ir par sabiedriskā transporta pasažieru pārvadājumiem ar autobusu, tad arī attiecībā uz tiem tiek piemērota Regula Nr.1370/2007 un tiek slēgti atbilstoši sabiedriskā pakalpojuma līgumi, tostarp ar 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MK noteikumu 3.</w:t>
            </w:r>
            <w:r w:rsidR="00000000" w:rsidRPr="00000000" w:rsidDel="00000000">
              <w:rPr>
                <w:vertAlign w:val="superscript"/>
                <w:rtl w:val="0"/>
              </w:rPr>
              <w:t xml:space="preserve">1</w:t>
            </w:r>
            <w:r w:rsidR="00000000" w:rsidRPr="00000000" w:rsidDel="00000000">
              <w:rPr>
                <w:rtl w:val="0"/>
              </w:rPr>
              <w:t xml:space="preserve"> punktā minētie finansējuma saņēmēji nevar pretendēt uz 13.15. apakšpunktā paredzēto izdevumu kompensāciju (tiem nav līgumu, kas noslēgti atbilstoši Regulai Nr.1370/2007).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papildināt un precizēt MK noteikumu projektu, nosakot, kurš būs atbalsta saņēmējs 13.15.apakšpunktā paredzētajiem izdevumiem un ietvert nosacījumus no piemērojamā komercdarbības atbalsta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pēc 13.15.apakšpunkta iekļaušanas MK noteikumos pasākums vairs nebūs tāds, kas nav saistīts ar komercdarbības atbalstu, lūdzam anotācijā iekļaut informāciju par to, ka pasākumā tiek plānota komercdarbības atbalsta piešķiršana, izskaidrojot kā tiks noteikts kompensācijas apmērs un kurš būs tās saņēmējs.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anotācijā jau sniegtajai informācijai par MK noteikumu papildināšanu ar jaunu 13.15. apakšpunktu, lūdzam anotāciju papildināt ar informāciju par to, kurš nodrošinās autobusu pārvadājumus, kamēr dzelzceļa līnijas būs slēgtas, t.i., vai Latvijas dzelzceļš slēgs kādus atsevišķus pakalpojumu līgumus, kas aizņems laiku (cik ilgi), vai arī Latvijas dzelzceļam ir pašiem pieejams nepieciešamais transports.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informāciju arī par to, kurš un atbilstoši kādai procedūrai saņems naudu kā izpildītājs par organizētajiem autobusu reisiem, kā arī, lūdzam papildināt ar informāciju, no kāda finansējuma plānots segt šādas izmaksas, t.i., vai investīcijai pieejamā Atveseļošanas fonda finansējuma ietvaros varēs tikt nodrošināta šādu attiecināmo izmaksu segšana.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ES fondu komitejas 2025.gada 29.maija sēdē lemtajam, lēmumi par turpmāku Atveseļošanas fonda ietaupījumu izmantošanu skatāmi Ministru komitejas Eiropas Savienības fondu jautājumos sēdēs.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lūdzam anotācijā skaidrot, kādas pārvadājumu izmaksas pārvadātāju reisu izpildes nodrošināšanai būtu attiecināmas, tostarp skaidrojot, vai pasažieri segs autobusa biļešu maksu tāpat kā segtu vilciena biļešu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precizēt/papildināt arī MK noteikumu plānoto 13.15. apakšpunktu, lai nodrošinātu viennozīmīgu interpretāciju par attiecināmo izmaksu pozīcijām.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Bērziņa (FM) (Aleksandra Anna Meinerte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4. noslēguma maksājumu par atlikušo finansējuma daļu var veikt tikai pēc </w:t>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  FIDIC inženiera atzinuma saņemšanas, kas tiek iesniegts kopā ar noslēguma maksājuma pieprasījumu.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plānotais 28.</w:t>
            </w:r>
            <w:r w:rsidR="00000000" w:rsidRPr="00000000" w:rsidDel="00000000">
              <w:rPr>
                <w:vertAlign w:val="superscript"/>
                <w:rtl w:val="0"/>
              </w:rPr>
              <w:t xml:space="preserve">1</w:t>
            </w:r>
            <w:r w:rsidR="00000000" w:rsidRPr="00000000" w:rsidDel="00000000">
              <w:rPr>
                <w:rtl w:val="0"/>
              </w:rPr>
              <w:t xml:space="preserve"> punkts un MK noteikumu 40. punkts savstarpēji dublējas, kā arī ir daļēji pretrunīgi (piemēram, attiecībā uz avansa maksimālo apmēru), kā arī, neskatoties uz anotācijā minēto, ka grozījumi skar tikai valsts akciju sabiedrības "Latvijas dzelzceļš"  īstenotā projekta nosacījumus, faktiski precizē nosacījumus kas attiecas uz investīcijas otro kārtu. Lūdzam precizēt noteikumu projektu, salāgojot informāciju un novēršot informācijas dublēšanos, kā arī pamatot grozījumu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vai norādītā informācija MK noteikumu plānotajā 28.</w:t>
            </w:r>
            <w:r w:rsidR="00000000" w:rsidRPr="00000000" w:rsidDel="00000000">
              <w:rPr>
                <w:vertAlign w:val="superscript"/>
                <w:rtl w:val="0"/>
              </w:rPr>
              <w:t xml:space="preserve">1</w:t>
            </w:r>
            <w:r w:rsidR="00000000" w:rsidRPr="00000000" w:rsidDel="00000000">
              <w:rPr>
                <w:rtl w:val="0"/>
              </w:rPr>
              <w:t xml:space="preserve">4. apakšpunktā ir korekta, un nav pretrunā ar MK noteikumu 40.3.apakšpunktu.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plānotajā 28.</w:t>
            </w:r>
            <w:r w:rsidR="00000000" w:rsidRPr="00000000" w:rsidDel="00000000">
              <w:rPr>
                <w:vertAlign w:val="superscript"/>
                <w:rtl w:val="0"/>
              </w:rPr>
              <w:t xml:space="preserve">1</w:t>
            </w:r>
            <w:r w:rsidR="00000000" w:rsidRPr="00000000" w:rsidDel="00000000">
              <w:rPr>
                <w:rtl w:val="0"/>
              </w:rPr>
              <w:t xml:space="preserve">4. apakšpunktā minētajam, noslēguma maksājumu var veikt tikai pēc FIDIC inženiera atzinuma saņemšanas, kas tiek iesniegts kopā ar noslēguma maksājuma pieprasījumu. Vienlaikus MK noteikumu 33.</w:t>
            </w:r>
            <w:r w:rsidR="00000000" w:rsidRPr="00000000" w:rsidDel="00000000">
              <w:rPr>
                <w:vertAlign w:val="superscript"/>
                <w:rtl w:val="0"/>
              </w:rPr>
              <w:t xml:space="preserve">1</w:t>
            </w:r>
            <w:r w:rsidR="00000000" w:rsidRPr="00000000" w:rsidDel="00000000">
              <w:rPr>
                <w:rtl w:val="0"/>
              </w:rPr>
              <w:t xml:space="preserve"> punkts nosaka, ka finansējuma saņēmējs otrās atlases kārtas ietvaros līdz 2026. gada 31. augustam iesniedz Kohēzijas politikas fondu vadības informācijas sitēmā FIDIC inženiera atzinumu, tomēr MK noteikumu 40.3.apakšpuntā noteikts, ka "</w:t>
            </w:r>
            <w:r w:rsidR="00000000" w:rsidRPr="00000000" w:rsidDel="00000000">
              <w:rPr>
                <w:i w:val="1"/>
                <w:rtl w:val="0"/>
              </w:rPr>
              <w:t xml:space="preserve">finansējuma saņēmējs par darbiem, kas veikti līdz 2026. gada 31. augustam un apliecina projekta ietvaros noteikto investīciju rādītāju sasniegšanu, līdz 2026. gada 15. septembrim iesniedz aģentūrā FIDIC inženiera apliecinājumu par darbu pabeigšanu.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izsekojamību, lūdzam papildināt anotācijas 1.2. sadaļu "Mērķis" ar aprakstu par visiem rosinātajiem grozījumiem, ņemot vērā, ka MK noteikumu grozījumu mērķis ir veikt arī citus grozījumus, nevis tikai pagarināt pirmās kārtas projekta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atbilstoši plānotajiem grozījumiem MK noteikumos būs veicami grozījumi starp valsts akciju sabiedrību "Latvijas dzelzceļš" un Centrālo finanšu un līgumu aģentūru 2024. gada 28. februārī noslēgtajā līgumā par investīciju projekta Nr. 1.1.1.1.i.2/1/23/I/CFLA/001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aizpildīt anotācijas 2.1. sadaļas apakšsadaļu "Juridiskās personas" un atbilstošo apakšsadaļu "Ietekmes apraksts", paredzot, ka tiesiskais regulējums attiecas uz valsts akciju sabiedrību "Latvijas dzelzceļš" kā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līdz 2024. gada 31.martam sasniedzamais uzraudzības rādītājs: parakstīti visi iepirkuma līgumi par to kopējo dzelzceļa posmu garumu, kas izveidojami vai atjaunojami saskaņā ar 1.1.1.1.i. investīciju.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grozījumus Atveseļošanas fonda darbību kārtībā, citastarp, svītrojot pielikumu ar uzraudzības rādītājiem, Finanšu ministrija kā Atveseļošanas fonda koordinators turpmāk Eiropas Komisijai neziņos par uzraudzības rādītājiem. Ņemot vērā iepriekš minēto, arī nacionāli nav pamats turpināt uzraudzības rādītāju datu uzkrāšanu un  uzraudzīšanu, līdz ar to, aicinām izvērtēt iespēju svītrot MK noteikumu 4.2.apakšpunktu un 32.punktu.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finansējuma saņēmējam ir pieejami vairāki avansa maksājumi, kas kopsummā veido 100 % no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minētajām investīcijas izmaksām, pamatojoties uz investīcijas ietvaros veiktajiem izdevumiem, tai skaitā maksājumiem saskaņā ar pakalpojumu, preču piegādes vai būvdarbu līgumiem. Viena avansa maksājuma apmērs nepārsniedz 30 % no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minētajām investīcijas izmaksām. Finansējuma saņēmējam avanss ir jāapgūst sešu mēnešu laikā saimnieciskā gada ietvaros, iesniedzot starpposma maksājumus piešķirtās avansa summas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28.</w:t>
            </w:r>
            <w:r w:rsidR="00000000" w:rsidRPr="00000000" w:rsidDel="00000000">
              <w:rPr>
                <w:vertAlign w:val="superscript"/>
                <w:rtl w:val="0"/>
              </w:rPr>
              <w:t xml:space="preserve">1</w:t>
            </w:r>
            <w:r w:rsidR="00000000" w:rsidRPr="00000000" w:rsidDel="00000000">
              <w:rPr>
                <w:rtl w:val="0"/>
              </w:rPr>
              <w:t xml:space="preserve">1. apakšpunkts, kurā ietvertais regulējums sākotnēji tika attiecināts uz abām projektu iesniegumu atlases kārtām un finansējuma saņēmējiem, paredzēja, ka līgumā par investīciju projekta īstenošanu var paredzēt avansa maksājumu, starpposma maksājumus un noslēguma maksājumu. Lūdzam izvērtēt iespēju atbilstoši precizēt MK noteikumu plānoto 28.1. apakšpunktu, tostarp ņemot vērā, ka plānotais 28.3. apakšpunkts paredz noslēguma maksājuma 10% apmērā veikšanu, savukārt 28.1. apakšpunktā minēta arī starpposma maksājuma iesniegšana. Proti, aicinām paredzēt, ka avansa un starpposma maksājumi kopsummā veido 90%, savukārt noslēguma maksājums - 10% no MK noteikumu 5. punktā minētajām Atveseļošanas un noturības mehānisma investīcijas izmaksām, tostarp ņemot vērā MK noteikumu 28.3. apakšpunkta plānotajā redakcijā noteikto, ka noslēguma maksājums tāpat var tikt veikts avansa maksājuma veidā līdz 2026. gada 31.jūlijam.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analoģiski precizēt arī MK noteikumu spēkā esošo 40.1.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viennozīmīgai regulējuma interpretācijai aicinām izvērtēt iespēju aizstāt MK noteikumu plānotajā 28.1. apakšpunkta 3. teikumā un analoģiski arī spēkā esošā 40.1. apakšpunkta 3. teikumā vārdus "starpposma maksājums" (attiecīgā locījumā) ar vārdiem "starpposma maksājuma pieprasījums"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Aģentūra veic projekta noslēguma dokumentācijas pārbaudi un izmaksā noslēguma maksājumu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norādītajiem finansējuma saņēmējiem līdz 2026.gada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detalizētāku skaidrojumu, kāpēc tiek paredzēts tik garš termiņš projekta noslēguma dokumentācijas pārbaudei un noslēguma maksājuma veikšanai (līdz 2026. gada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salāgot MK noteikumu 34.punktā plānoto termiņu ar MK noteikumu 40.2. apakšpunktā esošo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aicinām pārliecināties, vai nav nepieciešams precizēt MK noteikumu IV sadaļā "Noslēguma jautājumi" iekļauto informāciju, ņemot vērā, ka daļa no tur iekļautās informācijas dublējas ar MK noteikumu citos punktos atspoguļoto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25-TA-607</w:t>
    </w:r>
    <w:r>
      <w:br/>
    </w:r>
    <w:r w:rsidR="00000000" w:rsidRPr="00000000" w:rsidDel="00000000">
      <w:rPr>
        <w:rtl w:val="0"/>
      </w:rPr>
      <w:t xml:space="preserve">Izdrukāts 01.07.2025.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25-TA-607</w:t>
    </w:r>
    <w:r>
      <w:br/>
    </w:r>
    <w:r w:rsidR="00000000" w:rsidRPr="00000000" w:rsidDel="00000000">
      <w:rPr>
        <w:rtl w:val="0"/>
      </w:rPr>
      <w:t xml:space="preserve">Izdrukāts 01.07.2025.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Atzinumi_25-TA-607.docx</dc:title>
</cp:coreProperties>
</file>

<file path=docProps/custom.xml><?xml version="1.0" encoding="utf-8"?>
<Properties xmlns="http://schemas.openxmlformats.org/officeDocument/2006/custom-properties" xmlns:vt="http://schemas.openxmlformats.org/officeDocument/2006/docPropsVTypes"/>
</file>