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6. septembra rīkojumā Nr. 729 "Par 2.1.1.1.i. investīcijas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1.3. apakšsadaļā pilnīgi un precīzi atspoguļot no projekta izrietošo, tostarp 2. punkta nepieciešamību un mērķi. Tāpat līdzīgi no grozītā rīkojuma 2. pielikuma 4. punkta izriet ar finansējuma izmaiņām vai projekta aktivitātes “PVN taksācijas perioda deklarācijas sagatavošanas procesa pilnveidošanas” īstenošanas termiņa pagarināšanu nesaistītas izmaiņas, kuru nepieciešamību un mērķi nepieciešams anotācijā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grozītā rīkojuma 1. pielikumā norādīt precīzas atsauces uz Eiropas Savienības tiesību aktiem, kā arī, skaidrojot saistību ar direktīvu, lūdzam nodrošināt skaidrojumu atbilstību direktīvas, kā tiesību akta, būtībai. Proti, saskaņā ar Līguma par Eiropas Savienības darbību 288. pantu "</w:t>
            </w:r>
            <w:r w:rsidR="00000000" w:rsidRPr="00000000" w:rsidDel="00000000">
              <w:rPr>
                <w:i w:val="1"/>
                <w:rtl w:val="0"/>
              </w:rPr>
              <w:t xml:space="preserve">direktīvas tām dalībvalstīm, kurām tās adresētas, uzliek saistības attiecībā uz sasniedzamo rezultātu, bet ļauj šo valstu varasiestādēm noteikt to sasniegšanas formas un metodes</w:t>
            </w:r>
            <w:r w:rsidR="00000000" w:rsidRPr="00000000" w:rsidDel="00000000">
              <w:rPr>
                <w:rtl w:val="0"/>
              </w:rPr>
              <w:t xml:space="preserve">". Atšķirībā no regulām, direktīvas nav tieši piemērojams tiesību akts. Direktīvās tiek noteikts sasniedzamais mērķis. Dalībvalstīm ir uzdevums savlaicīgi iestrādāt direktīvu nosacījumus nacionālajos normatīvajos aktos to mērķa sasniegšanai. Proti, direktīvas ir saistošas dalībvalstīm. Savukārt dalībvalstu fiziskajām un juridiskajām personām direktīvās iekļautie nosacījumi kļūst par saistošiem tikai ar brīdi, kad pārņemti nacionālajos normatīvajos aktos. No pašreizējā apraksta var secināt, ka tikai direktīvas prasību spēkā stāšanās ir saistīta ar 2.1.1.1.i. investīcijas projektu "Finanšu dokumentu aprites digitalizācija, izveidojot centralizētu finanšu dokumentu maiņvietu", tomēr direktīvas prasības ir atbilstoši jāpārņem noteiktajā termiņā. Attiecīgi nepieciešams precizēt pielikumu vai izvērst sniegto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vēršam uzmanību, ka no grozītā rīkojuma 1. pielikuma 5.1. apakšpunkta izriet, ka radītāja “</w:t>
            </w:r>
            <w:r w:rsidR="00000000" w:rsidRPr="00000000" w:rsidDel="00000000">
              <w:rPr>
                <w:i w:val="1"/>
                <w:rtl w:val="0"/>
              </w:rPr>
              <w:t xml:space="preserve">PVN taksācijas perioda deklarācijas sagatavošanas</w:t>
            </w:r>
            <w:r w:rsidR="00000000" w:rsidRPr="00000000" w:rsidDel="00000000">
              <w:rPr>
                <w:rtl w:val="0"/>
              </w:rPr>
              <w:t xml:space="preserve">”  sasniegšanas termiņš ir gan 2025. gada 31. decembris, gan 2026. gada 31. maijs, ko lūdzam izvērtēt un salāgot.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rīkojuma projekta anotācijas 6. sadaļu un aizpildīt to atbilstoši Vadlīnijām tiesību akta projekta sākotnējās ietekmes novērtēšanai un novērtējuma ziņojuma sagatavošanai Vienotajā tiesību aktu izstrādes un saskaņošanas portālā. Proti, norādīts, ka sabiedrības līdzdalība jānodrošina, neskaidrojot, kā tas tika nodrošināts un kādi bija tās rezultāti.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25-TA-2623</w:t>
    </w:r>
    <w:r>
      <w:br/>
    </w:r>
    <w:r w:rsidR="00000000" w:rsidRPr="00000000" w:rsidDel="00000000">
      <w:rPr>
        <w:rtl w:val="0"/>
      </w:rPr>
      <w:t xml:space="preserve">Izdrukāts 14.01.2026.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25-TA-2623</w:t>
    </w:r>
    <w:r>
      <w:br/>
    </w:r>
    <w:r w:rsidR="00000000" w:rsidRPr="00000000" w:rsidDel="00000000">
      <w:rPr>
        <w:rtl w:val="0"/>
      </w:rPr>
      <w:t xml:space="preserve">Izdrukāts 14.01.2026.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Atzinumi_25-TA-2623.docx</dc:title>
</cp:coreProperties>
</file>

<file path=docProps/custom.xml><?xml version="1.0" encoding="utf-8"?>
<Properties xmlns="http://schemas.openxmlformats.org/officeDocument/2006/custom-properties" xmlns:vt="http://schemas.openxmlformats.org/officeDocument/2006/docPropsVTypes"/>
</file>