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Eiropas Parlamenta un Padomes 2022. gada 19. oktobra Direktīvas (ES) 2022/2041 par adekvātām minimālajām algām Eiropas Savienībā (turpmāk - Direktīva 2022/2041) 9. panta pārņemšanu un ar to saistītos skaidrojumus, nepieciešamības gadījumā, veikt vajadzīgos precizējumus, nodrošināt korektu no Eiropas Savienības tiesību aktiem izrietošo saistību izpildi. Vēršam uzmanību, ka, ņemot vērā Latvijas Brīvo arodbiedrību savienības (LBAS) iebildumā paustās bažas, informāciju par niansēm attiecībā uz darba koplīgumu slēgšanu, kā arī izziņā uz to sniegto, vispārīgo un, iespējams, nepilnīgo, atbildi ir nepieciešams pārbaudīt un izvērtēt LBAS argumentus, nodrošinot, ka Direktīvas 2022/2041 9. panta pārņemšana ir korekta un anotācijas 5.4. apakšsadaļas 1. tabulā norādīta precīza un pilnīga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anotācijas 5.4. apakšsadaļas 5.4.1. tabulas rīcības brīvības sadaļu, ņemot vērā, ka tajā skaidro, </w:t>
            </w:r>
            <w:r w:rsidR="00000000" w:rsidRPr="00000000" w:rsidDel="00000000">
              <w:rPr>
                <w:u w:val="single"/>
                <w:rtl w:val="0"/>
              </w:rPr>
              <w:t xml:space="preserve">kā ir izmantota Eiropas Savienības tiesību aktā paredzētā rīcības brīvība dalībvalstij pārņemt vai ieviest noteiktas tiesību akta normas? Kādēļ</w:t>
            </w:r>
            <w:r w:rsidR="00000000" w:rsidRPr="00000000" w:rsidDel="00000000">
              <w:rPr>
                <w:rtl w:val="0"/>
              </w:rPr>
              <w:t xml:space="preserve">? Lūdzam, piemēram, konkrēti norādīt, kā tieši īsteno no Direktīvas 2022/2041 5. panta 1. punkta izrietošās rīcības brīvības daļu par tiesībām lemt par Direktīvas 2022/2041 5. panta 2. punktā minēto elementu, salīdzinošo nozīmi, ņemot vērā valsts sociālekonomiskos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vērtēt Direktīvas 2022/2041 6. panta pārņemšanu, nodrošinot korektu no Eiropas Savienības tiesību aktiem izrietošo saistību izpildi un veikt nepieciešamos precizējumus vai sniegt papildus skaidrojumus. Skaidrojam, ka atbilstoši Direktīvas 2022/2041 6. panta redakcijai, dalībvalstīm jānodrošina, ka automātiski, visos gadījumos, kad dalībvalstis pieļauj atšķirīgas likumā noteiktas minimālās algas likmes konkrētām darba ņēmēju grupām vai atskaitījumus, kas samazina izmaksāto atalgojumu, tiks nodrošināts, ka minētā diferencēšana un atskaitījumi tiek veikti atbilstīgi nediskriminēšanas un samērīguma principiem un ka atskaitījumus veic, īstenojot likumīgu mērķi. Savukārt no anotācijas un izziņas skaidrojumiem izriet, ka  Direktīvas 2022/2041 6. pants ir pārņemts pilnībā, jo pašlaik esošās sankcijas atbilst nediskriminēšanas un samērīguma principiem un saskaņā Direktīvas 2022/2041 10. panta 2. punktu reizi divos gados, līdz pārskata gada 1. oktobrim, dalībvalstīm jāpaziņo Eiropas Komisijai par pastāvošo diferencēšanu un atskaitījumiem un to ieviešanas iemesliem un to darba ņēmēju īpatsvaru, kuriem tiek piemērota diferencēšana, ciktāl dati ir pieejami, kas nozīmē, ka atbilstība Direktīvas 2022/2041 6. pantam regulāri tiks izvērtēta.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tas, ka pašlaik šī prasība jau tiek nodrošināta nenozīmē, ka nākotnē neradīsies nepieciešamība pieņemt jaunas tiesību normas, attiecībā uz kurām būs jāievēro no Direktīvas 2022/2041 6. panta izrietošais. Taču, tas, ka regulāri tiks vērtēta atbilstība Direktīvas 2022/2041 6. pantam pēc būtības ir kontroles mehānisms nevis tas pats, kas pienākums nodrošināt nediskriminēšanas un samērīguma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ka diferencēšanu un atskaitījumus veic atbilstīgi nediskriminēšanas un samērīguma principiem minētā prasība nostiprināma nacionālajos tiesību aktos, nodrošinot no Direktīvas 2022/2041 6. panta izrietošo saistību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