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30. augusta noteikumos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Centrālā finanšu un līgumu aģentūra (turpmāk – aģentūra), ja tai ir pieejami valsts budžeta līdzekļi, pamatojoties uz finansējuma saņēmēja rakstisku avansa pieprasījumu un izvērtējot plānotā avansa apmēru, tā pamatojumu un spēju to izlietot deviņu mēnešu laikā saimnieciskā gada ietvaros (projekta iesniedzējam ir pabeigts būvdarbu iepirkums vai noslēgts būvdarbu līgums), var piešķirt finansējuma saņēmējam avansu līdz 50 procentiem no projekta AF finansējuma apjoma pēc civiltiesiskā līguma vai vienošanās par projekta īstenošanu noslēgšanas un 40 procentus no projekta AF finansējuma apjoma pēc nomas vai apbūves tiesības līguma noslēgšanas ar industriālā parka operatoru vai komersantu, kas lietos projekta ietvaros izbūvēto infrastruktūru un apņemas sasniegt projekta mērķus saskaņā ar šo noteikumu </w:t>
            </w:r>
            <w:r w:rsidR="00000000" w:rsidRPr="00000000" w:rsidDel="00000000">
              <w:rPr>
                <w:rtl w:val="0"/>
              </w:rPr>
              <w:t xml:space="preserve">37.1.</w:t>
            </w:r>
            <w:r w:rsidR="00000000" w:rsidRPr="00000000" w:rsidDel="00000000">
              <w:rPr>
                <w:rtl w:val="0"/>
              </w:rPr>
              <w:t xml:space="preserve"> un </w:t>
            </w:r>
            <w:r w:rsidR="00000000" w:rsidRPr="00000000" w:rsidDel="00000000">
              <w:rPr>
                <w:rtl w:val="0"/>
              </w:rPr>
              <w:t xml:space="preserve">37.3.</w:t>
            </w:r>
            <w:r w:rsidR="00000000" w:rsidRPr="00000000" w:rsidDel="00000000">
              <w:rPr>
                <w:rtl w:val="0"/>
              </w:rPr>
              <w:t xml:space="preserve"> apakšpunktā minētajiem nosacījumiem. Atlikušo projekta AF finansējuma daļu, kas ir vismaz 10 procenti no projektam piešķirtā AF finansējuma apjoma (saskaņā ar faktiskajām projekta izmaksām un nepārsniedzot projektam piešķirto AF finansējuma apjomu), finansējuma saņēmējs saņem pēc tam, kad aģentūra pārliecinās par industriālā parka izveidi vai attīstību, ko apliecina projektā paredzēto būvdarbu pabeigšana un projekta mērķu sasniegšana.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speciālai ekonomiskai zonai ir apstiprināta noteikumu kārtība, kādā notiek apbūves tiesību piešķiršana komercapbūves veikšanai, Liepājas industrializētā parka teritorijā. Vispirms tiek noslēgts apbūves tiesību rezervēšanas līgums uz diviem gadiem. Kuru laikā līgumslēdzējs maksā ikgadēju rezervācijas maksu un izstrādā būvprojektu. Pēc būvprojekta izstrādes, notiek nākošais līguma slēgšanas posms par apbūves tiesību piešķiršanu. Detalizētāka informācija ir atrodama -1729586930_LIP apbūves tiesības rezervēšanas un piešķiršanas kārtība-1.pdf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pēc būtības apbūves tiesību rezervēšanas līgums ir apbūves tiesību piešķiršanas priekšlīgums, lai izvairītos no citādām līgumu saistību interpretācijām, būtu nepieciešams MK. 543. Not. grozījumos precizēt, ka arī apbūves tiesību rezervācijas līgums ir atbilstošs rādītājs MK. 543. Not. 10. punkta starpmaksājuma daļas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MK. Not. 10 pantu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Centrālā finanšu un līgumu aģentūra (turpmāk – aģentūra), ja tai ir pieejami valsts budžeta līdzekļi, pamatojoties uz finansējuma saņēmēja rakstisku avansa pieprasījumu un izvērtējot plānotā avansa apmēru, tā pamatojumu un spēju to izlietot deviņu mēnešu laikā saimnieciskā gada ietvaros (projekta iesniedzējam ir pabeigts būvdarbu iepirkums vai noslēgts būvdarbu līgums), var piešķirt finansējuma saņēmējam avansu līdz 50 procentiem no projekta AF finansējuma apjoma pēc civiltiesiskā līguma vai vienošanās par projekta īstenošanu noslēgšanas un 40 procentus no projekta AF finansējuma apjoma pēc nomas vai apbūves tiesības </w:t>
            </w:r>
            <w:r w:rsidR="00000000" w:rsidRPr="00000000" w:rsidDel="00000000">
              <w:rPr>
                <w:b w:val="1"/>
                <w:rtl w:val="0"/>
              </w:rPr>
              <w:t xml:space="preserve">rezervēšanas, vai apbūves tiesības piešķiršanas </w:t>
            </w:r>
            <w:r w:rsidR="00000000" w:rsidRPr="00000000" w:rsidDel="00000000">
              <w:rPr>
                <w:rtl w:val="0"/>
              </w:rPr>
              <w:t xml:space="preserve">līguma noslēgšanas ar industriālā parka operatoru vai komersantu, kas lietos projekta ietvaros izbūvēto infrastruktūru un apņemas sasniegt projekta mērķus saskaņā ar šo noteikumu 37.1. un 37.3. apakšpunktā minētajiem nosacījumiem. Atlikušo projekta AF finansējuma daļu, kas ir vismaz 10 procenti no projektam piešķirtā AF finansējuma apjoma (saskaņā ar faktiskajām projekta izmaksām un nepārsniedzot projektam piešķirto AF finansējuma apjomu), finansējuma saņēmējs saņem pēc tam, kad aģentūra pārliecinās par industriālā parka izveidi vai attīstību, ko apliecina projektā paredzēto būvdarbu pabeigšana un projekta mērķu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aģentūra konstatē būtiskus pārkāpumus projekta īstenošanas laikā vai konstatē, ka nav nodrošināta projekta mērķu sasniegšana un projekta īstenošanas rezultātā nav izveidots darboties spējīgs industriālais parks un nav nodrošināta attīstītās industriālās teritorijas funkcionalitāte atbilstoši industriālā parka attīstības stratēģijā paredzētajam, aģentūra, izvērtējot no finansējuma saņēmēja saņemto un aģentūras rīcībā esošo informāciju, var pieņemt lēmumu par AF finansējuma maksājumu apturēšanu vai atgūšanu no finansējuma saņēmēja saskaņā ar civiltiesisko līgumu vai vienošanos par projekta īstenošanu un ievērojot šo noteikumu </w:t>
            </w:r>
            <w:r w:rsidR="00000000" w:rsidRPr="00000000" w:rsidDel="00000000">
              <w:rPr>
                <w:rtl w:val="0"/>
              </w:rPr>
              <w:t xml:space="preserve">18.6.</w:t>
            </w:r>
            <w:r w:rsidR="00000000" w:rsidRPr="00000000" w:rsidDel="00000000">
              <w:rPr>
                <w:rtl w:val="0"/>
              </w:rPr>
              <w:t xml:space="preserve"> apakšpunktā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30. augusta noteikumu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  18.8. apakšpunkta esošā redakcija neparedz sasaisti ar Eiropas Savienības Atveseļošanas un noturības mehānisma (turpmāk – AF) plānā noteikto kopējo rādītāju sasniegšanu, kā arī tiek paredzētas nesamērīgas sankcijas – projekta minimālā rādītāja (41 vai 82 jaunas darba vietas, kuru algas pārsniedz vidējo samaksu attiecīgajā tautsaimniecības nozarē, 10,7 vai 21,4 milj. EUR nefinanšu investīcijas pašu nemateriālajos ieguldījumos un pamatlīdzekļos) nesasniegšanas gadījumā projekta īstenotājam jāatgriež viss 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uz potenciālo situāciju, kad, sasniedzot AF plānā noteikto kopējo rādītāju, minimāli var tik nesasniegti atsevišķa projekta minimālie rādītāji (piemēram, radītas 40 jaunas darba vietas, piesaistītas vai veiktas 10 milj. EUR nefinanšu investīcijas), bet no projekta īstenotāja tiks atgūts AF finansējums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projektu papildināt ar jauniem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18.8.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apturēt šo noteikumu 10. punktā minēto maksājumu veikšanu vai lemt par AF finansējuma atgūšanu pilnā apmērā, ja projektā konstatēti šo noteikumu 18.6. apakšpunktā minētie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18. punktu ar 18.8.1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18.8.1 lemt par AF finansējuma atmaksas apmēru, izvērtējot katra projekta ietekmi uz nesasniegtajiem rādītājiem, ja netiek sasniegti šo noteikumu 11. punktā minētie mērķi. Ja šo noteikumu 11. punktā noteiktie mērķi ir sasniegti, atsevišķu projektu nesasniegtie rādītāji netiek vērtēti;”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24-TA-2199</w:t>
    </w:r>
    <w:r>
      <w:br/>
    </w:r>
    <w:r w:rsidR="00000000" w:rsidRPr="00000000" w:rsidDel="00000000">
      <w:rPr>
        <w:rtl w:val="0"/>
      </w:rPr>
      <w:t xml:space="preserve">Izdrukāts 29.11.2024.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24-TA-2199</w:t>
    </w:r>
    <w:r>
      <w:br/>
    </w:r>
    <w:r w:rsidR="00000000" w:rsidRPr="00000000" w:rsidDel="00000000">
      <w:rPr>
        <w:rtl w:val="0"/>
      </w:rPr>
      <w:t xml:space="preserve">Izdrukāts 29.11.2024.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Atzinumi_24-TA-2199.docx</dc:title>
</cp:coreProperties>
</file>

<file path=docProps/custom.xml><?xml version="1.0" encoding="utf-8"?>
<Properties xmlns="http://schemas.openxmlformats.org/officeDocument/2006/custom-properties" xmlns:vt="http://schemas.openxmlformats.org/officeDocument/2006/docPropsVTypes"/>
</file>