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2024. gada 23. septembra Regulas (ES, Euratom) 2024/2509 par finanšu noteikumiem, ko piemēro Savienības vispārējam budžetam (pārstrādāta redakcija), 138. pantā ("Izslēgšanas kritēriji un lēmumi par izslēgšanu") noteiktajiem izslēgšanas kritērijiem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punktu atbilstoši Ministru kabineta 2009.gada 3.februāra noteikumu Nr.108 "Normatīvo aktu projektu sagatavošanas noteikumi" 172.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no 6. punkta izrietošo saistību ar Eiropas Savienības tiesību normu (ieviesti izslēgšanas kritēriji), lūdzam izvērtēt projekta atbilstību Eiropas Savienības tiesību aktiem un to atspoguļot anotācijas 5. sadaļā ievērojot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2024. gada 23. septembra Regulas (ES, Euratom) 2024/2509 par finanšu noteikumiem, ko piemēro Savienības vispārējam budžetam (pārstrādāta redakcija) 138. pantā noteiktajiem izslēgšanas kritērijiem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21.04.2026.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21.04.2026.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Atzinumi_26-TA-698.docx</dc:title>
</cp:coreProperties>
</file>

<file path=docProps/custom.xml><?xml version="1.0" encoding="utf-8"?>
<Properties xmlns="http://schemas.openxmlformats.org/officeDocument/2006/custom-properties" xmlns:vt="http://schemas.openxmlformats.org/officeDocument/2006/docPropsVTypes"/>
</file>