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noteikumu projekta anotācijas 5.4. sadaļas 1. tabulu (A,B,C un D ailes) ar informāciju par konkrētu regulu vienību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29.5.</w:t>
            </w:r>
            <w:r w:rsidR="00000000" w:rsidRPr="00000000" w:rsidDel="00000000">
              <w:rPr>
                <w:rtl w:val="0"/>
              </w:rPr>
              <w:t xml:space="preserve"> apakšpunktā</w:t>
            </w:r>
            <w:r w:rsidR="00000000" w:rsidRPr="00000000" w:rsidDel="00000000">
              <w:rPr>
                <w:rtl w:val="0"/>
              </w:rPr>
              <w:t xml:space="preserve"> minēto eksperimentēšanas, pilotēšanas un testēšanas darbību īstenošanai Eiropas digitālās inovācijas centrs gala labuma guvējam sniedz tehnoloģisko pakalpojumu, nepārsniedzot 20 000 </w:t>
            </w:r>
            <w:r w:rsidR="00000000" w:rsidRPr="00000000" w:rsidDel="00000000">
              <w:rPr>
                <w:i w:val="1"/>
                <w:rtl w:val="0"/>
              </w:rPr>
              <w:t xml:space="preserve">euro</w:t>
            </w:r>
            <w:r w:rsidR="00000000" w:rsidRPr="00000000" w:rsidDel="00000000">
              <w:rPr>
                <w:rtl w:val="0"/>
              </w:rPr>
              <w:t xml:space="preserve"> un noslēdzot par to attiecīgu līgumu, uz darbībām attiecināmās izmaksas sedzot saskaņā ar šo noteikumu </w:t>
            </w:r>
            <w:r w:rsidR="00000000" w:rsidRPr="00000000" w:rsidDel="00000000">
              <w:rPr>
                <w:rtl w:val="0"/>
              </w:rPr>
              <w:t xml:space="preserve">56.</w:t>
            </w:r>
            <w:r w:rsidR="00000000" w:rsidRPr="00000000" w:rsidDel="00000000">
              <w:rPr>
                <w:rtl w:val="0"/>
              </w:rPr>
              <w:t xml:space="preserve"> punktu</w:t>
            </w:r>
            <w:r w:rsidR="00000000" w:rsidRPr="00000000" w:rsidDel="00000000">
              <w:rPr>
                <w:rtl w:val="0"/>
              </w:rPr>
              <w:t xml:space="preserve"> vai </w:t>
            </w:r>
            <w:r w:rsidR="00000000" w:rsidRPr="00000000" w:rsidDel="00000000">
              <w:rPr>
                <w:rtl w:val="0"/>
              </w:rPr>
              <w:t xml:space="preserve">61.7. </w:t>
            </w:r>
            <w:r w:rsidR="00000000" w:rsidRPr="00000000" w:rsidDel="00000000">
              <w:rPr>
                <w:rtl w:val="0"/>
              </w:rPr>
              <w:t xml:space="preserve"> 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19. punktā ietvertās atsauces uz šo noteikumu 56. punktu un 61.7. apakšpunktu, jo minētie punkti (apakšpunkti) neparedz attiecināmo izmaksu segšanas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sadarbībā ar Eiropas digitālās inovācijas centru veiktā sākotnējā un otrreizējā digitālā brieduma testa izmaksas, ja tās ir segtas no Eiropas Komisijas programmas “Digitālā Eiropa”.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konkrēti norādīt vai noteikumu projekta anotācijā skaidrot, kādas izmaksas saistībā ar digitālā brieduma testu ir attiecināmas, nepieciešamības gadījumā minot konkrētus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sadarbībā ar Eiropas digitālās inovācijas centru veiktā sākotnējā un otrreizējā digitālā brieduma testa izmaksas, ja tās ir segtas no Eiropas Komisijas programmas “Digitālā Eiropa”.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22. punktu, jo minētais jau nepārprotami izriet no Ministru kabineta 2022. gada 13. septembra noteikumu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(turpmāk - noteikumi Nr. 577) 33.4. apakšpunktā ietvertā nosacījuma "citas izmaksas, kas šo noteikumu 31. un 32. punktā nav noteiktas kā 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 Centrālā finanšu un līgumu aģentūra līdz 2025. gada 1. jūnijam atbilstoši šo noteikumu </w:t>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punktam</w:t>
            </w:r>
            <w:r w:rsidR="00000000" w:rsidRPr="00000000" w:rsidDel="00000000">
              <w:rPr>
                <w:rtl w:val="0"/>
              </w:rPr>
              <w:t xml:space="preserve"> vērtē Eiropas digitālās inovācijas centra kā inovācijas kopas dalībnieku atbilstību </w:t>
            </w:r>
            <w:r w:rsidR="00000000" w:rsidRPr="00000000" w:rsidDel="00000000">
              <w:rPr>
                <w:i w:val="1"/>
                <w:rtl w:val="0"/>
              </w:rPr>
              <w:t xml:space="preserve">de minimis</w:t>
            </w:r>
            <w:r w:rsidR="00000000" w:rsidRPr="00000000" w:rsidDel="00000000">
              <w:rPr>
                <w:rtl w:val="0"/>
              </w:rPr>
              <w:t xml:space="preserve"> atbalsta nosacījumiem uz komercdarbības atbalsta piešķiršanas brīdi. Par komercdarbības atbalsta piešķiršanas brīdi uzskatāms brīdis, kad Centrālā finanšu un līgumu aģentūra pieņēmusi lēmumu par komercdarbības atbalsta piešķiršanu Eiropas digitālās kā inovācijas centra inovācijas kopas dalībniekiem. Atbalsta programmas ietvaros </w:t>
            </w:r>
            <w:r w:rsidR="00000000" w:rsidRPr="00000000" w:rsidDel="00000000">
              <w:rPr>
                <w:i w:val="1"/>
                <w:rtl w:val="0"/>
              </w:rPr>
              <w:t xml:space="preserve">de minimis</w:t>
            </w:r>
            <w:r w:rsidR="00000000" w:rsidRPr="00000000" w:rsidDel="00000000">
              <w:rPr>
                <w:rtl w:val="0"/>
              </w:rPr>
              <w:t xml:space="preserve"> atbalsts tiek uzskaitīts katram Eiropas digitālās inovācijas centra dalībniekam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 577 57.</w:t>
            </w:r>
            <w:r w:rsidR="00000000" w:rsidRPr="00000000" w:rsidDel="00000000">
              <w:rPr>
                <w:vertAlign w:val="superscript"/>
                <w:rtl w:val="0"/>
              </w:rPr>
              <w:t xml:space="preserve">1 </w:t>
            </w:r>
            <w:r w:rsidR="00000000" w:rsidRPr="00000000" w:rsidDel="00000000">
              <w:rPr>
                <w:rtl w:val="0"/>
              </w:rPr>
              <w:t xml:space="preserve">punkts attiecas uz situācijām, kad komercdarbības atbalstu piešķir saskaņā ar Eiropas Komisijas 2014. gada 17. jūnija Regulu ES Nr. 651/2014, ar ko noteiktas atbalsta kategorijas atzīst par saderīgām ar iekšējo tirgu, piemērojot Līguma 107. un 108. pantu, lūdzam izvērtēt un svītrot šo noteikumu 34.</w:t>
            </w:r>
            <w:r w:rsidR="00000000" w:rsidRPr="00000000" w:rsidDel="00000000">
              <w:rPr>
                <w:vertAlign w:val="superscript"/>
                <w:rtl w:val="0"/>
              </w:rPr>
              <w:t xml:space="preserve">3</w:t>
            </w:r>
            <w:r w:rsidR="00000000" w:rsidRPr="00000000" w:rsidDel="00000000">
              <w:rPr>
                <w:rtl w:val="0"/>
              </w:rPr>
              <w:t xml:space="preserve"> un 34.</w:t>
            </w:r>
            <w:r w:rsidR="00000000" w:rsidRPr="00000000" w:rsidDel="00000000">
              <w:rPr>
                <w:vertAlign w:val="superscript"/>
                <w:rtl w:val="0"/>
              </w:rPr>
              <w:t xml:space="preserve">5</w:t>
            </w:r>
            <w:r w:rsidR="00000000" w:rsidRPr="00000000" w:rsidDel="00000000">
              <w:rPr>
                <w:rtl w:val="0"/>
              </w:rPr>
              <w:t xml:space="preserve"> punktā ietvertās atsauces uz 57.</w:t>
            </w:r>
            <w:r w:rsidR="00000000" w:rsidRPr="00000000" w:rsidDel="00000000">
              <w:rPr>
                <w:vertAlign w:val="superscript"/>
                <w:rtl w:val="0"/>
              </w:rPr>
              <w:t xml:space="preserve">1</w:t>
            </w:r>
            <w:r w:rsidR="00000000" w:rsidRPr="00000000" w:rsidDel="00000000">
              <w:rPr>
                <w:rtl w:val="0"/>
              </w:rPr>
              <w:t xml:space="preserve"> punktu, jo abi minētie punkti regulē gadījumus, kad atbalstu piešķir saskaņā ar Komisijas 2023. gada 13. decembra Regulu ES Nr.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(turpmāk - regula Nr. 2023/2831).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36.8. nodrošināt, ka eksperti paraksta objektivitātes un konfidencialitātes apliecinājumu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saskaņā ar šo noteikumu </w:t>
            </w:r>
            <w:r w:rsidR="00000000" w:rsidRPr="00000000" w:rsidDel="00000000">
              <w:rPr>
                <w:rtl w:val="0"/>
              </w:rPr>
              <w:t xml:space="preserve">32.2.</w:t>
            </w:r>
            <w:r w:rsidR="00000000" w:rsidRPr="00000000" w:rsidDel="00000000">
              <w:rPr>
                <w:rtl w:val="0"/>
              </w:rPr>
              <w:t xml:space="preserve"> 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577 32.2. apakšpunktā nav ietverta objektivitātes un konfidencialitātes apliecinājuma parakstīšanas kārtība, tādēļ lūdzam atbilstoši precizēt noteikumu projekta 29. punktā ietverto atsauci uz minēto apakšpunktu, nodrošinot skaidru regulējumu. Kā arī lūdzam pārskatīt noteikumu projektu un nepieciešamības gadījumā arī cituviet precizēt iekšējās atsauces, nodrošinot ka tās ir nepieciešamas, precīzas un nodrošina attiecīgā regulējuma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36.13. nodrošināt gala labuma guvējiem klātienes vai elektronisku piekļuvi sākotnējam un otrreizējam digitālā brieduma testam un 30 dienu laikā pēc gala labuma guvēja sākotnējā digitālā brieduma testa veikšanas, t.sk. pilnas informācijas saņemšanas, kas nepieciešama digitālās attīstības ceļa kartes izstrādei, izstrādāt digitālās attīstības ceļa karti, kurā iekļauti rezultatīvie rādītāji, kuri ir izmērāmi, nozīmīgi, ticami, reālistiski, objektīvi, ar metodoloģisku pamatojumu, laikus pieejami un salīdzināmi laikā, tas ir, norādīti mērvienībās. Ja informācijas pieejamība ir atkarīga no valsts iestāžu sniegtā pakalpojuma, lai nodrošinātu izslēgšanas kritēriju pārbaudi, digitālās attīstības ceļa kartes izstrādes termiņu var pagarināt par 10 darbdienām;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33. punktā skaidrot, kādu laika periodu iepriekš jābūt pieejamiem rezultatīviem rādītājiem, proti, kas ir domāts ar "laikus pieejamiem" rezultatīvajiem rādītājiem, tādējādi nodrošinot attiecīgā regulējuma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minētās darbības nodrošināšanai Eiropas digitālās inovācijas centrs pārbauda darbības veidu pirms līguma parakstīšanas un atbalsta piešķiršanas gala labuma guvējam. Pārbaude gala labuma guvējam ir uzskatāma par veiktu, ja no Latvijas Investīciju un attīstības aģentūras vai akciju sabiedrības "Attīstības finanšu institūcija Altum" (turpmāk – Altum) saņemts starplēmums par komersanta atbilstību komercdarbības atbalsta nosacījumiem saskaņā ar Ministru kabineta 2023. gada 10. janvāra noteikumu </w:t>
            </w:r>
            <w:r w:rsidR="00000000" w:rsidRPr="00000000" w:rsidDel="00000000">
              <w:rPr>
                <w:rtl w:val="0"/>
              </w:rPr>
              <w:t xml:space="preserve">Nr.10</w:t>
            </w:r>
            <w:r w:rsidR="00000000" w:rsidRPr="00000000" w:rsidDel="00000000">
              <w:rPr>
                <w:rtl w:val="0"/>
              </w:rPr>
              <w:t xml:space="preserve">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 (turpmāk – 2.2.1.2.i. investīcija) Latvijas Investīciju un attīstības aģentūras gadījumā vai Ministru kabineta 2022. gada 5. jūlija noteikumu </w:t>
            </w:r>
            <w:r w:rsidR="00000000" w:rsidRPr="00000000" w:rsidDel="00000000">
              <w:rPr>
                <w:rtl w:val="0"/>
              </w:rPr>
              <w:t xml:space="preserve">Nr.421</w:t>
            </w:r>
            <w:r w:rsidR="00000000" w:rsidRPr="00000000" w:rsidDel="00000000">
              <w:rPr>
                <w:rtl w:val="0"/>
              </w:rPr>
              <w:t xml:space="preserve"> “Eiropas Savienības Atveseļošanas un noturības mehānisma plāna 2.2. reformu un investīciju virziena "Uzņēmumu digitālā transformācija un inovācijas" 2.2.1.4.i. investīcijas "Finanšu instrumenti komersantu digitālās transformācijas veicināšanai" īstenošanas noteikumi” (turpmāk – 2.2.1.4.i. investīcija) Altum gadījumā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attiecīgajiem Ministru kabineta noteikumiem, kuri minēti noteikumu Nr. 577 36.</w:t>
            </w:r>
            <w:r w:rsidR="00000000" w:rsidRPr="00000000" w:rsidDel="00000000">
              <w:rPr>
                <w:vertAlign w:val="superscript"/>
                <w:rtl w:val="0"/>
              </w:rPr>
              <w:t xml:space="preserve">3</w:t>
            </w:r>
            <w:r w:rsidR="00000000" w:rsidRPr="00000000" w:rsidDel="00000000">
              <w:rPr>
                <w:rtl w:val="0"/>
              </w:rPr>
              <w:t xml:space="preserve"> punktā, neizriet, ka izdodams ir starplēmums, bet gan pirmšķietami konkrētais lēmums par atbalsta piešķiršanu gala labuma guvējam ir galējs, tādēļ lūdzam precizēt minēto noteikumu Nr. 577 punktu vai sniegt pamatotu skaidrojumu noteikumu projekta anotācijā,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pamatojumu secinājumam, ka lēmumi 2.2.1.2.i., 2.2.1.4.i. un 2.2.1.1. investīcijas ietvaros tiek pieņemti viena administratīvā procesa ietvaros, un skaidrojot attiecīgo lēmumu pieņemšanas kārtību, tai skaitā minot konkrētas normas, kas paredz lēmuma izdošanu par komersanta atbilstību komercdarbības atbalsta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pamatojumu, kādēļ Eiropas digitālās inovācijas centra rīcībā jābūt pieejamam gala labuma guvējam adresētam lēmumam par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starplēmums tiek adresēts komersantiem vai gala labuma guvējiem, nepieciešamības gadījumā precizējot norādi uz starplēmuma adresātu;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pamatojumu Eiropas digitālās inovācijas centram neparedzēt veikt attiecīgas gala labuma guvēja pārbaudes, ņemot vērā, ka Latvijas Investīciju un attīstības aģentūras un a/s "Attīstības finanšu institūcija Altum" veiktajām pārbaudēm ir atšķirīgs priekšmets, turklāt tās tiek veiktas atšķirīgos laika periodos.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 Gala labuma guvējs, kas pretendē uz atbalsta saņemšanu Latvijas Investīciju un attīstības aģentūrā 2.2.1.2.i. investīcijas ietvaros vai pretendē uz atbalsta saņemšanu Altum 2.2.1.4.i. investīcijas ietvaros, var iesniegt atbalsta pieteikumu attiecīgi Latvijas Investīciju un attīstības aģentūrā vai Altum pirms, vienlaikus vai pēc sākotnējā digitālā brieduma testa un pieteikuma ceļa kartes saņemšanai iesniegšanas Eiropas digitālās inovācijas centrā 2.2.1.1.i. investīcijas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42. punktā ietverto noteikumu noteikumu Nr. 577 36.</w:t>
            </w:r>
            <w:r w:rsidR="00000000" w:rsidRPr="00000000" w:rsidDel="00000000">
              <w:rPr>
                <w:vertAlign w:val="superscript"/>
                <w:rtl w:val="0"/>
              </w:rPr>
              <w:t xml:space="preserve">4</w:t>
            </w:r>
            <w:r w:rsidR="00000000" w:rsidRPr="00000000" w:rsidDel="00000000">
              <w:rPr>
                <w:rtl w:val="0"/>
              </w:rPr>
              <w:t xml:space="preserve"> punktu. Vēršam uzmanību, ka noteikumu projektā nebūtu pieļaujams regulēt atbalsta pieteikumu iesniegšanas kārtību citu investīciju (2.2.1.2.i. un 2.2.1.4.i.) ietvaros, jo minētās investīcijas tiek ieviestas ar citiem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 Eiropas digitālās inovācijas centrs, saņemot šo noteikumu </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Latvijas Investīciju un attīstības aģentūras vai Altum starplēmumu, nevērtē šo noteikumu </w:t>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un </w:t>
            </w:r>
            <w:r w:rsidR="00000000" w:rsidRPr="00000000" w:rsidDel="00000000">
              <w:rPr>
                <w:rtl w:val="0"/>
              </w:rPr>
              <w:t xml:space="preserve">49.4. </w:t>
            </w:r>
            <w:r w:rsidR="00000000" w:rsidRPr="00000000" w:rsidDel="00000000">
              <w:rPr>
                <w:rtl w:val="0"/>
              </w:rPr>
              <w:t xml:space="preserve">apakšpunktā</w:t>
            </w:r>
            <w:r w:rsidR="00000000" w:rsidRPr="00000000" w:rsidDel="00000000">
              <w:rPr>
                <w:rtl w:val="0"/>
              </w:rPr>
              <w:t xml:space="preserve"> noteiktās prasības, bet vadoties no saņemtās informācijas apjoma, nepieciešamības gadījumā veicot pārbaudi saskaņā ar šo noteikumu </w:t>
            </w:r>
            <w:r w:rsidR="00000000" w:rsidRPr="00000000" w:rsidDel="00000000">
              <w:rPr>
                <w:rtl w:val="0"/>
              </w:rPr>
              <w:t xml:space="preserve">61. </w:t>
            </w:r>
            <w:r w:rsidR="00000000" w:rsidRPr="00000000" w:rsidDel="00000000">
              <w:rPr>
                <w:rtl w:val="0"/>
              </w:rPr>
              <w:t xml:space="preserve">punkta</w:t>
            </w:r>
            <w:r w:rsidR="00000000" w:rsidRPr="00000000" w:rsidDel="00000000">
              <w:rPr>
                <w:rtl w:val="0"/>
              </w:rPr>
              <w:t xml:space="preserve"> prasībām, pieņem lēmumu par komercdarbības atbalsta piešķiršanu, nodrošina digitālā brieduma testa pieejamību un izsniedz digitālās attīstības ceļa karti vai noraida atbalsta pieteikumu. Komersantam ir pienākums iesniegt visu nepieciešamo dokumentāciju, kas nepieciešama Eiropas digitālās inovācijas centram, ja tā nav iesniegta Latvijas Investīciju un attīstības aģentūrā. Latvijas Investīciju un attīstības aģentūras un Altum pienākums ir izsniegt Eiropas digitālās inovācijas centram nepieciešamo informāciju, kas nepieciešama lēmuma par komercdarbības atbalsta piešķiršanu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43. punktā skaidrot, kādos gadījumos, nepieciešams veikt pārbaudi saskaņā ar šo noteikumu 61. 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 Eiropas digitālās inovācijas centrs, saņemot šo noteikumu </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Latvijas Investīciju un attīstības aģentūras vai Altum starplēmumu, nevērtē šo noteikumu </w:t>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un </w:t>
            </w:r>
            <w:r w:rsidR="00000000" w:rsidRPr="00000000" w:rsidDel="00000000">
              <w:rPr>
                <w:rtl w:val="0"/>
              </w:rPr>
              <w:t xml:space="preserve">49.4. </w:t>
            </w:r>
            <w:r w:rsidR="00000000" w:rsidRPr="00000000" w:rsidDel="00000000">
              <w:rPr>
                <w:rtl w:val="0"/>
              </w:rPr>
              <w:t xml:space="preserve">apakšpunktā</w:t>
            </w:r>
            <w:r w:rsidR="00000000" w:rsidRPr="00000000" w:rsidDel="00000000">
              <w:rPr>
                <w:rtl w:val="0"/>
              </w:rPr>
              <w:t xml:space="preserve"> noteiktās prasības, bet vadoties no saņemtās informācijas apjoma, nepieciešamības gadījumā veicot pārbaudi saskaņā ar šo noteikumu </w:t>
            </w:r>
            <w:r w:rsidR="00000000" w:rsidRPr="00000000" w:rsidDel="00000000">
              <w:rPr>
                <w:rtl w:val="0"/>
              </w:rPr>
              <w:t xml:space="preserve">61. </w:t>
            </w:r>
            <w:r w:rsidR="00000000" w:rsidRPr="00000000" w:rsidDel="00000000">
              <w:rPr>
                <w:rtl w:val="0"/>
              </w:rPr>
              <w:t xml:space="preserve">punkta</w:t>
            </w:r>
            <w:r w:rsidR="00000000" w:rsidRPr="00000000" w:rsidDel="00000000">
              <w:rPr>
                <w:rtl w:val="0"/>
              </w:rPr>
              <w:t xml:space="preserve"> prasībām, pieņem lēmumu par komercdarbības atbalsta piešķiršanu, nodrošina digitālā brieduma testa pieejamību un izsniedz digitālās attīstības ceļa karti vai noraida atbalsta pieteikumu. Komersantam ir pienākums iesniegt visu nepieciešamo dokumentāciju, kas nepieciešama Eiropas digitālās inovācijas centram, ja tā nav iesniegta Latvijas Investīciju un attīstības aģentūrā. Latvijas Investīciju un attīstības aģentūras un Altum pienākums ir izsniegt Eiropas digitālās inovācijas centram nepieciešamo informāciju, kas nepieciešama lēmuma par komercdarbības atbalsta piešķiršanu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28. punktā ietvertais attiecīgais nosacījums nav attiecināms arī uz gadījumiem, ja dokumentācija nav iesniegta Altum, un nepieciešamības gadījumā atbilstoši precizēt. Papildus lūdzam izvērtēt noteikumu projektā ietvertās norādes uz "komersantu" un, ja ar komersantu saprotami vienīgi gala labuma guvēji, lūdzam atbilstoši precizēt noteikumu projektu, nodrošinot konsekventu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 Eiropas digitālās inovācijas centrs, saņemot šo noteikumu 36.</w:t>
            </w:r>
            <w:r w:rsidR="00000000" w:rsidRPr="00000000" w:rsidDel="00000000">
              <w:rPr>
                <w:vertAlign w:val="superscript"/>
                <w:rtl w:val="0"/>
              </w:rPr>
              <w:t xml:space="preserve">3</w:t>
            </w:r>
            <w:r w:rsidR="00000000" w:rsidRPr="00000000" w:rsidDel="00000000">
              <w:rPr>
                <w:rtl w:val="0"/>
              </w:rPr>
              <w:t xml:space="preserve"> punktā minēto Latvijas Investīciju un attīstības aģentūras vai Altum starplēmumu, nevērtē šo noteikumu 36.</w:t>
            </w:r>
            <w:r w:rsidR="00000000" w:rsidRPr="00000000" w:rsidDel="00000000">
              <w:rPr>
                <w:vertAlign w:val="superscript"/>
                <w:rtl w:val="0"/>
              </w:rPr>
              <w:t xml:space="preserve">2</w:t>
            </w:r>
            <w:r w:rsidR="00000000" w:rsidRPr="00000000" w:rsidDel="00000000">
              <w:rPr>
                <w:rtl w:val="0"/>
              </w:rPr>
              <w:t xml:space="preserve">, 57. punktā un 49.4. apakšpunktā noteiktās prasības, bet vadoties no saņemtās informācijas apjoma, nepieciešamības gadījumā veicot pārbaudi saskaņā ar šo noteikumu 61. punkta prasībām, pieņem lēmumu par komercdarbības atbalsta piešķiršanu, nodrošina digitālā brieduma testa pieejamību un izsniedz digitālās attīstības ceļa karti vai noraida atbalsta pieteikumu. Komersantam ir pienākums iesniegt visu nepieciešamo dokumentāciju, kas nepieciešama Eiropas digitālās inovācijas centram, ja tā nav iesniegta Latvijas Investīciju un attīstības aģentūrā vai Altum. Latvijas Investīciju un attīstības aģentūras un Altum pienākums ir izsniegt Eiropas digitālās inovācijas centram nepieciešamo informāciju, kas nepieciešama lēmuma par komercdarbības atbalsta piešķiršanu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 Centrālā finanšu un līgumu aģentūra pārbauda un pieņem lēmumu par katra inovācijas kopas dalībnieka atbilstību Komisijas regulas Nr. </w:t>
            </w:r>
            <w:r w:rsidR="00000000" w:rsidRPr="00000000" w:rsidDel="00000000">
              <w:rPr>
                <w:rtl w:val="0"/>
              </w:rPr>
              <w:t xml:space="preserve">2023/2831</w:t>
            </w:r>
            <w:r w:rsidR="00000000" w:rsidRPr="00000000" w:rsidDel="00000000">
              <w:rPr>
                <w:rtl w:val="0"/>
              </w:rPr>
              <w:t xml:space="preserve"> 1. panta 1.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54. punktu kā noteikumu projekta 58. punktā ietvertā regulējuma dublējošu, nepieciešamības gadījumā sniedzot attiecīgu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2</w:t>
            </w:r>
            <w:r w:rsidR="00000000" w:rsidRPr="00000000" w:rsidDel="00000000">
              <w:rPr>
                <w:rtl w:val="0"/>
              </w:rPr>
              <w:t xml:space="preserve"> Centrālā finanšu un līgumu aģentūra pirms </w:t>
            </w:r>
            <w:r w:rsidR="00000000" w:rsidRPr="00000000" w:rsidDel="00000000">
              <w:rPr>
                <w:i w:val="1"/>
                <w:rtl w:val="0"/>
              </w:rPr>
              <w:t xml:space="preserve">de minimis</w:t>
            </w:r>
            <w:r w:rsidR="00000000" w:rsidRPr="00000000" w:rsidDel="00000000">
              <w:rPr>
                <w:rtl w:val="0"/>
              </w:rPr>
              <w:t xml:space="preserve"> komercdarbības atbalsta piešķiršanas Eiropas digitālās inovācijas centra kā inovācijas kopas dalībniekiem saskaņā ar Komisijas regulu Nr. </w:t>
            </w:r>
            <w:r w:rsidR="00000000" w:rsidRPr="00000000" w:rsidDel="00000000">
              <w:rPr>
                <w:rtl w:val="0"/>
              </w:rPr>
              <w:t xml:space="preserve">2023/2831</w:t>
            </w:r>
            <w:r w:rsidR="00000000" w:rsidRPr="00000000" w:rsidDel="00000000">
              <w:rPr>
                <w:rtl w:val="0"/>
              </w:rPr>
              <w:t xml:space="preserve">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 veic atbilstības pārbaudi šo noteikumu </w:t>
            </w:r>
            <w:r w:rsidR="00000000" w:rsidRPr="00000000" w:rsidDel="00000000">
              <w:rPr>
                <w:rtl w:val="0"/>
              </w:rPr>
              <w:t xml:space="preserve">57.1.</w:t>
            </w:r>
            <w:r w:rsidR="00000000" w:rsidRPr="00000000" w:rsidDel="00000000">
              <w:rPr>
                <w:rtl w:val="0"/>
              </w:rPr>
              <w:t xml:space="preserve">, </w:t>
            </w:r>
            <w:r w:rsidR="00000000" w:rsidRPr="00000000" w:rsidDel="00000000">
              <w:rPr>
                <w:rtl w:val="0"/>
              </w:rPr>
              <w:t xml:space="preserve">57.3.</w:t>
            </w:r>
            <w:r w:rsidR="00000000" w:rsidRPr="00000000" w:rsidDel="00000000">
              <w:rPr>
                <w:rtl w:val="0"/>
              </w:rPr>
              <w:t xml:space="preserve">, </w:t>
            </w:r>
            <w:r w:rsidR="00000000" w:rsidRPr="00000000" w:rsidDel="00000000">
              <w:rPr>
                <w:rtl w:val="0"/>
              </w:rPr>
              <w:t xml:space="preserve">57.4.</w:t>
            </w:r>
            <w:r w:rsidR="00000000" w:rsidRPr="00000000" w:rsidDel="00000000">
              <w:rPr>
                <w:rtl w:val="0"/>
              </w:rPr>
              <w:t xml:space="preserve">, </w:t>
            </w:r>
            <w:r w:rsidR="00000000" w:rsidRPr="00000000" w:rsidDel="00000000">
              <w:rPr>
                <w:rtl w:val="0"/>
              </w:rPr>
              <w:t xml:space="preserve">57.5.</w:t>
            </w:r>
            <w:r w:rsidR="00000000" w:rsidRPr="00000000" w:rsidDel="00000000">
              <w:rPr>
                <w:rtl w:val="0"/>
              </w:rPr>
              <w:t xml:space="preserve">, </w:t>
            </w:r>
            <w:r w:rsidR="00000000" w:rsidRPr="00000000" w:rsidDel="00000000">
              <w:rPr>
                <w:rtl w:val="0"/>
              </w:rPr>
              <w:t xml:space="preserve">57.6.</w:t>
            </w:r>
            <w:r w:rsidR="00000000" w:rsidRPr="00000000" w:rsidDel="00000000">
              <w:rPr>
                <w:rtl w:val="0"/>
              </w:rPr>
              <w:t xml:space="preserve">, </w:t>
            </w:r>
            <w:r w:rsidR="00000000" w:rsidRPr="00000000" w:rsidDel="00000000">
              <w:rPr>
                <w:rtl w:val="0"/>
              </w:rPr>
              <w:t xml:space="preserve">57.7.</w:t>
            </w:r>
            <w:r w:rsidR="00000000" w:rsidRPr="00000000" w:rsidDel="00000000">
              <w:rPr>
                <w:rtl w:val="0"/>
              </w:rPr>
              <w:t xml:space="preserve">, </w:t>
            </w:r>
            <w:r w:rsidR="00000000" w:rsidRPr="00000000" w:rsidDel="00000000">
              <w:rPr>
                <w:rtl w:val="0"/>
              </w:rPr>
              <w:t xml:space="preserve">57.8.</w:t>
            </w:r>
            <w:r w:rsidR="00000000" w:rsidRPr="00000000" w:rsidDel="00000000">
              <w:rPr>
                <w:rtl w:val="0"/>
              </w:rPr>
              <w:t xml:space="preserve">, </w:t>
            </w:r>
            <w:r w:rsidR="00000000" w:rsidRPr="00000000" w:rsidDel="00000000">
              <w:rPr>
                <w:rtl w:val="0"/>
              </w:rPr>
              <w:t xml:space="preserve">57.9.</w:t>
            </w:r>
            <w:r w:rsidR="00000000" w:rsidRPr="00000000" w:rsidDel="00000000">
              <w:rPr>
                <w:rtl w:val="0"/>
              </w:rPr>
              <w:t xml:space="preserve">, </w:t>
            </w:r>
            <w:r w:rsidR="00000000" w:rsidRPr="00000000" w:rsidDel="00000000">
              <w:rPr>
                <w:rtl w:val="0"/>
              </w:rPr>
              <w:t xml:space="preserve">57.13.</w:t>
            </w:r>
            <w:r w:rsidR="00000000" w:rsidRPr="00000000" w:rsidDel="00000000">
              <w:rPr>
                <w:rtl w:val="0"/>
              </w:rPr>
              <w:t xml:space="preserve"> un </w:t>
            </w:r>
            <w:r w:rsidR="00000000" w:rsidRPr="00000000" w:rsidDel="00000000">
              <w:rPr>
                <w:rtl w:val="0"/>
              </w:rPr>
              <w:t xml:space="preserve">57.14. </w:t>
            </w:r>
            <w:r w:rsidR="00000000" w:rsidRPr="00000000" w:rsidDel="00000000">
              <w:rPr>
                <w:rtl w:val="0"/>
              </w:rPr>
              <w:t xml:space="preserve">apakšpunktā</w:t>
            </w:r>
            <w:r w:rsidR="00000000" w:rsidRPr="00000000" w:rsidDel="00000000">
              <w:rPr>
                <w:rtl w:val="0"/>
              </w:rPr>
              <w:t xml:space="preserve"> minētajām neatbalstāmajām nozarēm un darbībām un </w:t>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 577 57.3. apakšpunkts attiecas uz atbalsta piešķiršanu saskaņā ar citu regulu, nevis minētajā apakšpunktā norādīto, lūdzam izvērtēt un noteikumu projekta 58. punktā svītrot atsauci uz minēto apakšpunktu vai noteikumu projekta anotācijā skaidrot,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vai </w:t>
            </w:r>
            <w:r w:rsidR="00000000" w:rsidRPr="00000000" w:rsidDel="00000000">
              <w:rPr>
                <w:i w:val="1"/>
                <w:rtl w:val="0"/>
              </w:rPr>
              <w:t xml:space="preserve">de minimis</w:t>
            </w:r>
            <w:r w:rsidR="00000000" w:rsidRPr="00000000" w:rsidDel="00000000">
              <w:rPr>
                <w:rtl w:val="0"/>
              </w:rPr>
              <w:t xml:space="preserve"> plānotā atbalsta kopsumma, ko viena dalībvalsts piešķīrusi vienam vienotam uzņēmumam, nevienā trīs gadu periodā nepārsniedz Komisijas regulas Nr. </w:t>
            </w:r>
            <w:r w:rsidR="00000000" w:rsidRPr="00000000" w:rsidDel="00000000">
              <w:rPr>
                <w:rtl w:val="0"/>
              </w:rPr>
              <w:t xml:space="preserve">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w:t>
            </w:r>
            <w:r w:rsidR="00000000" w:rsidRPr="00000000" w:rsidDel="00000000">
              <w:rPr>
                <w:i w:val="1"/>
                <w:rtl w:val="0"/>
              </w:rPr>
              <w:t xml:space="preserve"> De minimis</w:t>
            </w:r>
            <w:r w:rsidR="00000000" w:rsidRPr="00000000" w:rsidDel="00000000">
              <w:rPr>
                <w:rtl w:val="0"/>
              </w:rPr>
              <w:t xml:space="preserve"> atbalsta apmērs tiek vērtēts viena vienota komersanta līmenī atbilstoši Komisijas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61. un 62. punktā salāgot veidu, kā noteikumu projektā tiek ieviestas regulas Nr. 2023/2831 3. panta 2. punktā paredzētās prasības, atbilstoši precizējot noteikumu projekta 62. punktu. Vienlaikus lūdzam noteikumu projekta anotācijā skaidrot, kā paredzēts nodrošināt, ka Eiropas digitālās inovācijas centrs var pārbaudīt atbalsta kopsummas, ko dalībvalsts piešķīrusi vienam vienotam uzņēmumam, bet 61. punktā konkretizēt, par kādu dalībvalsti (viena dalībvalsts) šajā punktā ir 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salāgot noteikumu projekta 73. un 74. pantu attiecībā uz veidu, kā tiek ieviestas regulas Nr. 2023/2831 5. panta 3. punkta prasības, atbilstoši precizējot 73.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63.4.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 Eiropas digitālās inovācijas centram maksimāli pieļaujamā maksimālā pieļaujamā Atveseļošanas fonda finansējuma intensitāte ir 100 % saskaņā ar Komisijas regulas Nr. </w:t>
            </w:r>
            <w:r w:rsidR="00000000" w:rsidRPr="00000000" w:rsidDel="00000000">
              <w:rPr>
                <w:rtl w:val="0"/>
              </w:rPr>
              <w:t xml:space="preserve">2023/2831</w:t>
            </w:r>
            <w:r w:rsidR="00000000" w:rsidRPr="00000000" w:rsidDel="00000000">
              <w:rPr>
                <w:rtl w:val="0"/>
              </w:rPr>
              <w:t xml:space="preserve"> 3.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66. punktā ietverto regulējumu, ņemot vērā, ka šajā punktā ietvertā atsauce uz regulu ir nekorekta. Norādām, ka minētā regulas vienība neparedz finansējuma intensitāti 100 %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Šīs investīcijas ietvaros Eiropas digitālās inovācijas centrs sniedz atbalstu gala labuma guvējam saskaņā ar Komisijas 2013. gada 18. decembra Regulu ES Nr. </w:t>
            </w:r>
            <w:r w:rsidR="00000000" w:rsidRPr="00000000" w:rsidDel="00000000">
              <w:rPr>
                <w:rtl w:val="0"/>
              </w:rPr>
              <w:t xml:space="preserve">1407/2013</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tās piemērošanas periodā, kas noteikts regulas Nr.1407/2013 8. pantā un 7. panta 4.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skaidri norādīt, kādos gadījumos atbalstu sniedz saskaņā ar regulu Nr. 2023/2831, bet kādos - saskaņā ar Komisijas 2013. gada 18. decembra Regulu ES Nr. 1407/2013 par Līguma par Eiropas Savienības darbību 107. un 108. panta piemērošanu de minimis atbalstam tās piemērošanas periodā, kas noteikts regulas Nr.1407/2013, nepieciešamības gadījumā papildinot noteikumu projektu ar atbilstošu noslēguma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līdz 2024. gada 30. jūnijam izsniegto ceļvežu (ceļa karšu) skaits – 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izvairīties no sinonīmu lietošanas. Norādām, ka atbilstoši juridiskās tehnikas prasībām, termins ir jālieto vienā nozīmē, un tas nav aizstājams ar sinonīmiem.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līdz 2024. gada 30. jūnijam izsniegto ceļa karšu skaits – 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10.2.2. līdz 2025. gada 31. decembrim izsniegto ceļvežu (ceļa karšu skaits) – 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"10.2.2. līdz 2025. gada 31. decembrim izsniegto ceļvežu (ceļa karšu) skaits – 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 Eiropas digitālās inovācijas centrs, saņemot šo noteikumu </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Latvijas Investīciju un attīstības aģentūras vai Altum starplēmumu, nevērtē šo noteikumu </w:t>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un </w:t>
            </w:r>
            <w:r w:rsidR="00000000" w:rsidRPr="00000000" w:rsidDel="00000000">
              <w:rPr>
                <w:rtl w:val="0"/>
              </w:rPr>
              <w:t xml:space="preserve">49.4. </w:t>
            </w:r>
            <w:r w:rsidR="00000000" w:rsidRPr="00000000" w:rsidDel="00000000">
              <w:rPr>
                <w:rtl w:val="0"/>
              </w:rPr>
              <w:t xml:space="preserve">apakšpunktā</w:t>
            </w:r>
            <w:r w:rsidR="00000000" w:rsidRPr="00000000" w:rsidDel="00000000">
              <w:rPr>
                <w:rtl w:val="0"/>
              </w:rPr>
              <w:t xml:space="preserve"> noteiktās prasības, bet vadoties no saņemtās informācijas apjoma, nepieciešamības gadījumā veicot pārbaudi saskaņā ar šo noteikumu </w:t>
            </w:r>
            <w:r w:rsidR="00000000" w:rsidRPr="00000000" w:rsidDel="00000000">
              <w:rPr>
                <w:rtl w:val="0"/>
              </w:rPr>
              <w:t xml:space="preserve">61. </w:t>
            </w:r>
            <w:r w:rsidR="00000000" w:rsidRPr="00000000" w:rsidDel="00000000">
              <w:rPr>
                <w:rtl w:val="0"/>
              </w:rPr>
              <w:t xml:space="preserve">punkta</w:t>
            </w:r>
            <w:r w:rsidR="00000000" w:rsidRPr="00000000" w:rsidDel="00000000">
              <w:rPr>
                <w:rtl w:val="0"/>
              </w:rPr>
              <w:t xml:space="preserve"> prasībām, pieņem lēmumu par komercdarbības atbalsta piešķiršanu, nodrošina digitālā brieduma testa pieejamību un izsniedz digitālās attīstības ceļa karti vai noraida atbalsta pieteikumu. Komersantam ir pienākums iesniegt visu nepieciešamo dokumentāciju, kas nepieciešama Eiropas digitālās inovācijas centram, ja tā nav iesniegta Latvijas Investīciju un attīstības aģentūrā. Latvijas Investīciju un attīstības aģentūras un Altum pienākums ir izsniegt Eiropas digitālās inovācijas centram nepieciešamo informāciju, kas nepieciešama lēmuma par komercdarbības atbalsta piešķiršanu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 Eiropas digitālās inovācijas centrs, saņemot šo noteikumu 36.3 punktā minēto Latvijas Investīciju un attīstības aģentūras vai Altum starplēmumu, nevērtē šo noteikumu 36.2, 57. punktāun 49.4. apakšpunktā noteiktās prasības, bet vadoties no saņemtās informācijas apjoma, nepieciešamības gadījumā veicot pārbaudi saskaņā ar šo noteikumu 61. punkta prasībām, pieņem lēmumu par komercdarbības atbalsta piešķiršanu, nodrošina digitālā brieduma testa pieejamību un izsniedz digitālās attīstības ceļa karti vai noraida atbalsta pieteikumu. Komersantam ir pienākums iesniegt visu dokumentāciju, kas nepieciešama Eiropas digitālās inovācijas centram, ja tā nav iesniegta Latvijas Investīciju un attīstības aģentūrā vai Altum. Latvijas Investīciju un attīstības aģentūras un Altum pienākums ir izsniegt Eiropas digitālās inovācijas centram informāciju, kas nepieciešama lēmuma par komercdarbības atbalsta piešķiršanu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Centrālās finanšu un līgumu aģentūras pieņemto lēmumu par neatbilstību komercdarbības atbalsta nosacījumiem Eiropas digitālās inovācijas centra inovācijas kopas dalībnieks var apstrīdēt Finanšu ministrijā. Eiropas digitālās inovācijas centra dalībnieks - privāto tiesību juridiska persona - Finanšu ministrijas izdoto lēmumu var pārsūdzēt Administratīvā rajona tiesā.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anotācijā minēto, ka Eiropas digitālās inovācijas centrs ir inovācijas kopa, kas sastāv no dažādu juridisku formu savstarpēji juridiski nesaistītiem dalībniekiem (tātad, iespējams, ne tikai privāto tiesību juridiskām personām un valsts institūcijām), lūdzam izvērtēt un noteikumu projekta 51. punktā vārdus "privāto tiesību juridiska persona" aizstāt ar vārdu "privātpersona"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Atbalsts gala labuma guvējam netiek sniegts, ja tā pamatdarbības veids un tā investīciju projektā paredzētas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56. punktā ietverto noteikumu Nr. 577 57. punkta ievaddaļu salāgot ar tālākajos apakšpunktos minēto, atbilstoši tehniski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saskaņā ar Komisijas regulas Nr. </w:t>
            </w:r>
            <w:r w:rsidR="00000000" w:rsidRPr="00000000" w:rsidDel="00000000">
              <w:rPr>
                <w:rtl w:val="0"/>
              </w:rPr>
              <w:t xml:space="preserve">2023/2831</w:t>
            </w:r>
            <w:r w:rsidR="00000000" w:rsidRPr="00000000" w:rsidDel="00000000">
              <w:rPr>
                <w:rtl w:val="0"/>
              </w:rPr>
              <w:t xml:space="preserve"> 7. panta 4. punktu un 8. pantu – līdz Komisijas regulas Nr. 2023/2831 darbības beigām, bet ne vēlāk kā līdz 2026.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saskaņā ar Komisijas regulas Nr. 2023/2831 7. panta 3. punktu un 8. pantu – līdz Komisijas regulas Nr. 2023/2831 darbības beigām, bet ne vēlāk kā līdz 2026.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Digitālās attīstības ceļa karte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78. punktā ietverto noteikumu Nr. 577 pielikumu, atbilstoši juridiskās tehnikas prasībām atrunājot visus tajā lietotos saīsinājumus, tostarp EDIC, ERP, CRM u.c., kā arī lūdzam izvairīties no abreviatūras lietošanas minētajā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21.03.2024.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21.03.2024.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