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2.punktu, kur minēti noteikumos lietotie termini, ar skaidrojumu par mikrokvalifikācijām un to piešķiršanu, lai nodrošinātu, ka  šo noteikumu projekta  kontekstā būtu vienota izpratne par mikrokvalifikāciju piešķiršanu, ņemot vērā, ka 15.3. apakšpunkts paredz, ka pirmās kārtas projektā līdz 2029. gada 31. decembrim ir uzkrājami dati par piešķirto mikrokvalifikāciju skaitu (izsniegto sertifikātu vai apliecību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14.08.2024.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14.08.2024.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Atzinumi_24-TA-440.docx</dc:title>
</cp:coreProperties>
</file>

<file path=docProps/custom.xml><?xml version="1.0" encoding="utf-8"?>
<Properties xmlns="http://schemas.openxmlformats.org/officeDocument/2006/custom-properties" xmlns:vt="http://schemas.openxmlformats.org/officeDocument/2006/docPropsVTypes"/>
</file>