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tāpat kā Latvijas Veselības un sociālās aprūpes darbinieku arodbiedrības (LVSADA) birojs kategoriski iebilst projekta tālākai virzībai un uztur spēkā iebildumu. Uzskatām Veselības ministrijas (VM) skaidrojumu (izziņas 1., 3. un 4. punkts) par nepietiekamu un valsts stratēģiskajām interesēm neatbilstošu.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iebildumi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Identiski kompensācijas nosacījumi publiskajam sektoram un privātajam sektoram stimulē speciālistu aizplūšanu uz zemākas intensitātes un atbildības darbu privātajās ambulatorajās iestādēs. Tas tieši vājina valsts sistēmas "mugurkaulu", kas galvenokārt saistīta ar  neatliekamo un stacionāro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fondu līdzekļu izmantošana privātā sektora rentabilitātes celšanai, kamēr valsts iestādēs trūkst personāla un kvotu, ir uzskatāma par publiskā sektora stratēģiskās kapacitātes graušanu.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esošajā redakcijā nepilda pasākuma 4.1.2.5. mērķi, kas prioritāri vērsts, lai stiprinātu tieši valsts sektoru. (4.1.2.5. pasākuma "Piesaistīt un noturēt ārstniecības personas darbam valsts apmaksāto veselības aprūpes pakalpojumu sektorā, īpaši stacionāros").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noteiktajām vienreizējām kompensācijām var pretendēt ārstniecības personas (turpmāk – kompensācijas pretendents vai kompensācijas saņēmējs) darbam prioritārajās jomās, tas ir, sirds un asinsvadu slimības, onkoloģija, psihiskā veselība, mātes un bērna veselības aprūpe, retās slimības, paliatīvā aprūpe, medicīniskā rehabilitācija, un ar šīm jomām saistītajās specialitātēs (turpmāk – atbalstāmās specialitātes), ja ir spēkā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priekšlikums, lai novērstu valsts veselības aprūpes sistēmas vājināšanu, papildināt likumprojekta noteikumu 21. punktā un tam pakārtotajās normās skaidri definēt kompensāciju piešķiršanas prioritāti šādā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Primārā prioritāte ir  ārstniecības personām, kuras uzsāk vai turpina darba tiesiskās attiecības valsts vai pašvaldību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Sekundārā prioritāte ir  ārstniecības personām iestādēs, kurām ir noslēgts līgums ar Nacionālo veselības dienestu par valsts apmaksāto veselības aprūpes pakalpojumu sniegšanu, tikai tādā gadījumā, ja uz konkrēto finansējuma daļu (kvotu) nav pieteikusies neviena ārstniecības persona no publiskā sektora stacionārajām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29.04.2026.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29.04.2026.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