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darba grupu Eiropas Savienības stratēģijas Baltijas jūras reģionam rīcības plāna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skaidrot arī rīkojuma projektu, ne tikai Ministru kabineta sēdes protokollēmuma projektu. Piemēram, tiek paredzēts, ka Ekonomikas ministriju pārstāv Uzņēmējdarbības konkurētspējas departamenta </w:t>
            </w:r>
            <w:r w:rsidR="00000000" w:rsidRPr="00000000" w:rsidDel="00000000">
              <w:rPr>
                <w:u w:val="single"/>
                <w:rtl w:val="0"/>
              </w:rPr>
              <w:t xml:space="preserve">vecākie eksperti</w:t>
            </w:r>
            <w:r w:rsidR="00000000" w:rsidRPr="00000000" w:rsidDel="00000000">
              <w:rPr>
                <w:rtl w:val="0"/>
              </w:rPr>
              <w:t xml:space="preserve">, proti, vairākas personas vienlaicīgi, neskaidrojot, cik tieši, vai to, kā tiek noteikti konkrēti darba grupas locekļi. Tāpat, iesakām izvērtēt, vai, nenosakot konkrētus darba grupas locekļus vai nosacījumus to mainībai, nepastāv riski, kas var apgrūtināt darba grupas darbu, piemēram, katru reizi darba grupā iesaistās cita persona, kura iespējams nav tik labi informēta par darba grupas līdzšinējo darbību v.tml.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zaudējušu Ministru kabineta 2019. gada 22. maija rīkojumu Nr. 235 "Par darba grupu Eiropas Savienības stratēģijas Baltijas jūras reģionam rīcības plāna īstenošanai " (Latvijas Vēstnesis, 2019, 102.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secīgu un loģisku normu izklāstu, aicinām rīkojuma projekta 5. punktu rakstīt kā pēdējo rīkojuma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6.3. apakšsadaļu, ņemot vērā, ka Ministru kabineta 2009.gada 25.augusta noteikumi Nr.970 "Sabiedrības līdzdalības kārtība attīstības plānošanas procesā" atzīti par spēku zaudējušiem ar Ministru kabineta 2024. gada 15. 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kas pilda Rīcības plāna politikas jomu un horizontālo darbību vadošo ministriju funkcijas, ieplānot komandējumu izdevumus, lai nodrošinātu ekspertu dalību Vadības komitejās un/vai citos sadarbības formātos un aktivitātēs. Komandējumu izdevumi sedzami ministrijai piešķirto budžeta līdzekļu ietvaros vai, ja iespējams, no Stratēģijas politikas jomu un horizontālo darbību atbalstam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izvairīties no saikļu "un/vai" pieraksta lietojuma, ņemot vērā, ka abi saikļi ir savstarpēji pretrunīgi. Proti, saiklis „un” ir kumulatīvs nosacījums, kura lietošanas gadījumā ir jāizpilda visi nosacījumi. Savukārt saiklis „vai” ir alternatīvs nosacījums, kura lietošana nosaka tikai viena nosacījuma izpildes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25-TA-1269</w:t>
    </w:r>
    <w:r>
      <w:br/>
    </w:r>
    <w:r w:rsidR="00000000" w:rsidRPr="00000000" w:rsidDel="00000000">
      <w:rPr>
        <w:rtl w:val="0"/>
      </w:rPr>
      <w:t xml:space="preserve">Izdrukāts 04.06.2025.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25-TA-1269</w:t>
    </w:r>
    <w:r>
      <w:br/>
    </w:r>
    <w:r w:rsidR="00000000" w:rsidRPr="00000000" w:rsidDel="00000000">
      <w:rPr>
        <w:rtl w:val="0"/>
      </w:rPr>
      <w:t xml:space="preserve">Izdrukāts 04.06.2025.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Atzinumi_25-TA-1269.docx</dc:title>
</cp:coreProperties>
</file>

<file path=docProps/custom.xml><?xml version="1.0" encoding="utf-8"?>
<Properties xmlns="http://schemas.openxmlformats.org/officeDocument/2006/custom-properties" xmlns:vt="http://schemas.openxmlformats.org/officeDocument/2006/docPropsVTypes"/>
</file>