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Plānošanas dokumenta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Savienības kohēzijas politikas programma 2021.–2027.gadam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atbilstoši Ekonomikas ministrijas 21.06.2024. e-pastam Nr. 3.7-9.1/2024/3625N, precizēt 4.tabulu (2) 2. Politikas mērķa iznākuma rādītāji, norādot ka SAM 2.5.1. ir nefinansiālu atbalstu saņēmušie uzņēmumi (RCO 04), nevis ar grantiem atbalstīti uzņēmumi (RCO 02), ņemot vērā to, ka </w:t>
            </w:r>
            <w:r w:rsidR="00000000" w:rsidRPr="00000000" w:rsidDel="00000000">
              <w:rPr>
                <w:rtl w:val="0"/>
              </w:rPr>
              <w:t xml:space="preserve">uzņēmumi nesaņems atbalstu granta veidā, bet gan slēgs nomas līgumus (būs pieejama infrastruktūra).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Karīna Cine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27.06.2024. 23.11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27.06.2024. 23.11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