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veikt šo noteikumu </w:t>
            </w:r>
            <w:r w:rsidR="00000000" w:rsidRPr="00000000" w:rsidDel="00000000">
              <w:rPr>
                <w:rtl w:val="0"/>
              </w:rPr>
              <w:t xml:space="preserve">2.</w:t>
            </w:r>
            <w:r w:rsidR="00000000" w:rsidRPr="00000000" w:rsidDel="00000000">
              <w:rPr>
                <w:rtl w:val="0"/>
              </w:rPr>
              <w:t xml:space="preserve"> punktā minēto izglītības dokumentu ekspertīzi piešķir augstskolai, kas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2022. gada 22. septembrī parakstīto vienošanos par labu praksi ārvalstu studējošo piesaistē un studiju nodrošināšanā starp Izglītības un zinātnes ministriju, Ārlietu ministriju, Iekšlietu ministriju, kā arī 15 augstākās izglītības iestādēm, aicinām iekļaut punktu par nepieciešamību kārtībā noteikt nosacījumu AII dalībai vienošanās nosacījumu izpildē. Ņemot vērā internacionalizāciju veicinošos mehānismus un ārvalstu studējošo labklājības nostiprināšanas instrumentus, kas minēti šajā dokumentā uzskatām, ka būtiski tos ievērot arī šī procesa norisē.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Augstskola ir parakstījusi vienošanos par labu praksi ārvalstu studējošo piesaistē un studiju nodrošināšanā.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Mačtama (LSA)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no uzņemto ārvalstu studentu skaita, kuriem ieceļošanai Latvijā ir vajadzīga vīza;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"Vienošanās par labu praksi ārvalstu studējošo piesaistē un studiju nodrošināšanā" aicinām ievērot tajā noteiktos vienošanās pamatprincipus, veicinot ārvalstu studējošo piesaistei labvēlīgu vidi, attiecībā uz saņemto pieteikumu skaitu. Kā minēts Vienošanās pielikuma 4. sadaļas 13. punktā: "13. Atteikto vīzu skaits kalendārajā gadā nepārsniedz 20% (ja vīzu pieteikumu skaits ir lielāks vai vienāds par 50) vai 30%, ja pieteikumu skaits mazāks par 50. (Informāciju iesniedz Ārlietu ministrija). Šo rādītāju nepiemēro, ja pieteikumu skaits augstskolā ir 10 vai mazāks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Mačtama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14.06.2023.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14.06.2023.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