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valstspilsētas pašvaldības obligāciju izlaišanas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pašvaldības obligāciju izlaišanas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"Rīgas valstspilsētas pašvaldības obligāciju izlaišanas noteikumi" (turpmāk – projekts) ar spēkā stāšanās noteikumu, ņemot vērā to, ka saskaņā ar likuma "Par valsts budžetu 2025. gadam un budžeta ietvaru 2025., 2026. un 2027. gadam" (turpmāk – Likums) pārejas noteikumu punktu Likuma 17. panta piektā daļa, kas ir projekta izdošanas tiesiskajā pamatā, stāsies spēkā 2026. gada 1. janvārī. Vienlaikus vēršam uzmanību uz to, ka projekta sākotnējās ietekmes novērtējuma ziņojuma (turpmāk - anotācija) 1.2. apakšsadaļā ir norādīts, ka projekts stāsies spēkā 2026.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emitents – Rīgas valstspilsētas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sagatavošanas noteikumi) 121. punkts paredz, ka noteikumu projektā terminus skaidro, lai konkretizētu terminā izteiktā jēdziena izpratnes robežas, ja termins nav skaidrots vai lietots augstāka juridiskā spēka normatīvajā aktā. Vienlaikus, ievērojot sagatavošanas noteikumu 122. punktā noteikto, uz projektu attiecināms sagatavošanas noteikumu 39. punkts, kas paredz, ka terminu skaidro, minot tajā izteiktā jēdziena būtiskās pazīmes. Vēršam uzmanību uz to, ka projekta 2.1. apakšpunktā nav skaidrots termins "emitents", bet noteikts, ka projekta ietvaros emitents ir Rīgas valstspilsētas pašvaldība. Ievērojot minēto, lūdzam svītrot projekta 2.1. apakšpunktu, vienlaikus, piemēram, projekta 1. punktā vārdu savienojumam "Rīgas valstspilsētas pašvaldība" pieteikt saīsinājumu "emitents".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publiskais piedāvājums – ar jebkuru līdzekļu starpniecību sniegta informācija par plānoto obligāciju laidienu, kas ļauj ieguldītājam lemt par obligāciju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121. punkts paredz, ka noteikumu projektā terminus skaidro, lai konkretizētu terminā izteiktā jēdziena izpratnes robežas, ja termins nav skaidrots vai lietots augstāka juridiskā spēka normatīvajā aktā. Vēršam uzmanību uz to, ka termins "publiskais piedāvājums" ir skaidrots Finanšu instrumentu tirgus likuma 1. panta trešās daļas 7. punktā. Ievērojot minēto, lūdzam svītrot projekta 2.15.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sākotnējā izvietošana – emitenta izteiktais publiskais piedāvājums iegūt obligācijas un to pirmreizējā iegūšana;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Sagatavošanas noteikumu 121. punkts paredz, ka noteikumu projektā terminus skaidro, lai konkretizētu terminā izteiktā jēdziena izpratnes robežas, ja termins nav skaidrots vai lietots augstāka juridiskā spēka normatīvajā aktā. Vēršam uzmanību uz to, ka termins "sākotnējā izvietošana" ir skaidrots Finanšu instrumentu tirgus likuma 1. panta pirmās daļas 11. punktā. Ievērojot minēto, lūdzam svītrot projekta 2.16.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pamatprospekts – dokuments, kas satur detalizētu informāciju par emitentu un obligācijām, ko emitents izmanto, lai izteiktu obligāciju publisko piedāvājumu, kurš ietver uz publiskā piedāvājuma brīdi spēkā esošos </w:t>
            </w:r>
            <w:r w:rsidR="00000000" w:rsidRPr="00000000" w:rsidDel="00000000">
              <w:rPr>
                <w:i w:val="1"/>
                <w:rtl w:val="0"/>
              </w:rPr>
              <w:t xml:space="preserve">euro</w:t>
            </w:r>
            <w:r w:rsidR="00000000" w:rsidRPr="00000000" w:rsidDel="00000000">
              <w:rPr>
                <w:rtl w:val="0"/>
              </w:rPr>
              <w:t xml:space="preserve"> zonas valstu vērtspapīriem piemērojamos kopējas rīcības noteikumus un kurš sagatavots, izmantojot galvenos pamatprincipus, kas noteikti Eiropas Komisijas 2019. gada 14. marta Deleģētajā regulā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2.10. apakšpunktu ar konkrētu atsauci uz </w:t>
            </w:r>
            <w:r w:rsidR="00000000" w:rsidRPr="00000000" w:rsidDel="00000000">
              <w:rPr>
                <w:i w:val="1"/>
                <w:rtl w:val="0"/>
              </w:rPr>
              <w:t xml:space="preserve">Eiropas Komisijas 2019. gada 14. marta Deleģētajā regulas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w:t>
            </w:r>
            <w:r w:rsidR="00000000" w:rsidRPr="00000000" w:rsidDel="00000000">
              <w:rPr>
                <w:rtl w:val="0"/>
              </w:rPr>
              <w:t xml:space="preserve">, vienību vai vienībām, kur noteikti attiecīgie pamatprincipi, tādējādi atvieglojot projekta piemērošanu praksē. Kā arī lūdzam izvērtēt un, ja minētās regulas prasības paredzēts ieviest projektā, papildināt anotācijas 5. sadaļu ar skaidrojumu par konkrētās regulas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zaļo obligāciju ietvars – dokuments, kas sagatavots atbilstoši starptautiskajā praksē izmantotajām vadlīnijām par zaļajām obligācijām, par pašvaldības attīstības programmā iekļautajiem stratēģiski svarīgiem infrastruktūras investīciju projektiem, kurus plānots pilnībā vai daļēji finansēt ar finanšu resursiem, kas piesaistīti ar pašvaldības zaļajām obligācijām.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sagatavošanas noteikumu 131.2. apakšpunktu, lūdzam svītrot projektā ietvertās atsauces uz juridiski nesaistošiem dokumentiem - starptautiskajā praksē izmantotajām vadlīnijām par zaļajām obligācijām, nepieciešamības gadījumā pārņemot minēto vadlīniju prasības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25-TA-317</w:t>
    </w:r>
    <w:r>
      <w:br/>
    </w:r>
    <w:r w:rsidR="00000000" w:rsidRPr="00000000" w:rsidDel="00000000">
      <w:rPr>
        <w:rtl w:val="0"/>
      </w:rPr>
      <w:t xml:space="preserve">Izdrukāts 14.04.2025.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25-TA-317</w:t>
    </w:r>
    <w:r>
      <w:br/>
    </w:r>
    <w:r w:rsidR="00000000" w:rsidRPr="00000000" w:rsidDel="00000000">
      <w:rPr>
        <w:rtl w:val="0"/>
      </w:rPr>
      <w:t xml:space="preserve">Izdrukāts 14.04.2025.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Atzinumi_25-TA-317.docx</dc:title>
</cp:coreProperties>
</file>

<file path=docProps/custom.xml><?xml version="1.0" encoding="utf-8"?>
<Properties xmlns="http://schemas.openxmlformats.org/officeDocument/2006/custom-properties" xmlns:vt="http://schemas.openxmlformats.org/officeDocument/2006/docPropsVTypes"/>
</file>