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par administratīvā sloga mazināšanu un lieka sloga neuzlikšanu uzņēmumiem un komersantiem, līdz ar to neatbalstām stingrāku normu ieviešanu, kā nosaka Direktīvas (Directive (EU) 2018/2001) minimālās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MK grozījumu redakciju ar spēkā esošajiem normatīviem, ievērtējot esošo sistēmu ar nepieciešamajām atļaujām darbībām ar biomasu.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27. punktu vēršam uzmanību uz iespējamu normu pārklāšanos nosakot dubultu izsekojamības un risku izvērtēšanas sistēmu – Masas bilances sistēmu. Lūgums veikt pilnveidojumus vai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rūpīgāk izvērtēt Atmežošanas regula (Regulation (EU) 2023/1115)  nosacījumus un pārskatīt noteikumu grozījumu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28.10.2024. 22.23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28.10.2024. 22.23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