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nelikumīga tiešsaistes satura ierobežošanu un informācijas pieprasīšanu no starpniecības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Atzīt par spēku zaudējušiem Ministru kabineta 2022. gada 16. augusta noteikumus Nr. 506 “Kārtība, kādā Izložu un azartspēļu uzraudzības inspekcija sagatavo un nosūta lēmumu par piekļuves ierobežošanu Latvijā nelicencētu interaktīvo azartspēļu organizētāju tīmekļvietnēm” (Latvijas Vēstnesis, 2022, 160. nr.).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uztur tās 2025. gada 20. februārī izteikto iebildumu, jo, pēc Ekonomikas ministrijas sniegtās informācijas un paskaidrojumiem iepriekš konstatētā problēma nav atrisināta.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Satversmes tiesa ir norādījusi, ka ar likumdevēja doto pilnvarojumu izpildvarai jāsaprot ne tikai viena konkrēta, lakoniska tiesību norma, bet paša likuma būtība un mērķi (sk. Satversmes tiesas 2011. gada 11. janvāra sprieduma lietā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Nr. 2010-40-03 10.4. punktu). Atkārtoti vēršam uzmanību, ka izstrādātais Ministru kabineta noteikumu projekts “Noteikumi par nelikumīga tiešsaistes satura ierobežošanu un informācijas pieprasīšanu no starpniecības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 – noteikumu projekts) tiek izstrādāts, pamatojoties uz Informācijas sabiedrības pakalpojumu likuma 19.</w:t>
            </w:r>
            <w:r w:rsidR="00000000" w:rsidRPr="00000000" w:rsidDel="00000000">
              <w:rPr>
                <w:vertAlign w:val="superscript"/>
                <w:rtl w:val="0"/>
              </w:rPr>
              <w:t xml:space="preserve">2</w:t>
            </w:r>
            <w:r w:rsidR="00000000" w:rsidRPr="00000000" w:rsidDel="00000000">
              <w:rPr>
                <w:rtl w:val="0"/>
              </w:rPr>
              <w:t xml:space="preserve"> panta trešo daļu. Vienlaikus minētā likuma 2. panta otrā daļa skaidri norāda, ka minēta likuma tvērums nav attiecināms uz izlozēm un azartspēlēm, kurās paredzēts naudas laimests.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iepriekš minēto, nevar uzskatīt par pamatotu ar izstrādāto noteikumu projektu atzīt par spēku zaudējušiem Ministru kabineta 2022. gada 16. augusta noteikumus Nr. 506 “Kārtība, kādā Izložu un azartspēļu uzraudzības inspekcija sagatavo un nosūta lēmumu par piekļuves ierobežošanu Latvijā nelicencētu interaktīvo azartspēļu organizētāju tīmekļvietnēm” (turpmāk – noteikumi Nr. 506), kuru izdošanas pamats ir noteikts citā normatīvajā aktā, proti, Elektronisko sakaru likumā. Vispārīga atruna, ka nākotnē nenoteiktā termiņā Informācijas sabiedrības pakalpojumu likums tiks grozīts, nav pieņemama un nav uzskatāma par pietiekošu pamatojumu šādu izmaiņu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jau šobrīd likumdevējs Elektronisko sakaru likuma 109. panta septītajā daļā ir precīzi definējis deleģējumu Ministru kabinetam noteikt kārību, kādā Izložu un azartspēļu uzraudzības inspekcija sagatavo un nosūta augstākā līmeņa domēna “.lv” reģistra turētājam un elektronisko sakaru komersantam lēmumu par to, ka ierobežojama piekļuve Latvijas Republikā nelicencēta interaktīvo azartspēļu vai interaktīvo izložu organizētāja domēna vārdam vai interneta protokola (IP) adresei, kā arī minētajā lēmumā ietveramā pieprasījuma formu, lēmuma nosūtīšanas veidu, izpildes veidu un darbības termiņu. Tāpat norādām, ka atbilstoši Ministru kabineta iekārtas likuma 31. panta pirmās daļas 1. punktam Ministru kabinets var izdot ārējus normatīvos aktus – noteikumus, ja likums Ministru kabinetu tam īpaši pilnvarojis. Uzskatāms, ka likumdevējs izdodot Elektronisko sakaru likuma 109. panta septītajā dāļā noteikto deleģējumu, ir uzdevis Ministru kabinetam izdot noteikumus Nr. 506 ar noteiktu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nav plānots precizēt Elektronisko sakaru likumā iekļauto deleģējumu, nav pamata ar izstrādāto noteikumu projektu atzīt par spēku zaudējušiem noteikumus Nr. 506. Minēto noteikumu izdošanas pamats – Elektronisko sakaru likuma 109. panta septītā daļa – joprojām ir spēkā, un attiecīgais tiesiskais regulējums turpina darboties.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Alvis Bless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7.5.sadaļas pēdējo teikumu par iestāžu izmaksu finansēšanas avotu pārcelt uz anotācijas 3.sadaļas punktu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24.03.2025. 14.30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24.03.2025. 14.30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Atzinumi_24-TA-2157.docx</dc:title>
</cp:coreProperties>
</file>

<file path=docProps/custom.xml><?xml version="1.0" encoding="utf-8"?>
<Properties xmlns="http://schemas.openxmlformats.org/officeDocument/2006/custom-properties" xmlns:vt="http://schemas.openxmlformats.org/officeDocument/2006/docPropsVTypes"/>
</file>