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apmaksāto laboratorisko izmeklējumu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valsta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precizēto informatīvā ziņojuma projektu "Par valsts apmaksāto laboratorisko izmeklējumu nodrošināšanu" (turpmāk tekstā - Projekts) un uztur iebildumu pret Projekta tālāku virzību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LDDK iebildums ir ņemts vērā, LDDK ieskatā tas pēc būtības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norādīts, ka </w:t>
            </w:r>
            <w:r w:rsidR="00000000" w:rsidRPr="00000000" w:rsidDel="00000000">
              <w:rPr>
                <w:i w:val="1"/>
                <w:rtl w:val="0"/>
              </w:rPr>
              <w:t xml:space="preserve">“Tarifu aprēķināšanas principi nav mainīti, un kārtība, kādā tiek rēķināti tarifi, pastāv jau vairākus gadus. Jau noteikumu Nr.1529 (šobrīd zaudējuši spēku) 282.punkts paredzēja, ka “aprēķinot šo noteikumu 281.punktā minētos maksājumus un veselības aprūpes pakalpojumu tarifus, dienests izmanto datu analīzi par ārstniecības iestāžu faktiskajiem izdevumiem atbilstoši ārstniecības iestāžu sniegtajiem pārskatiem, veselības aprūpes statistikas datus, informāciju par ārstniecības līdzekļu cenām, kā arī ārstu un citu ārstniecības personu profesionālo asociāciju sniegto informāciju par pakalpojumu sniegšanai nepieciešamajiem resursiem”. Mainoties normatīvajiem aktiem, minētā kārtība tika noteikta kā NVD iekšējā kārtība[1]. </w:t>
            </w:r>
            <w:r w:rsidR="00000000" w:rsidRPr="00000000" w:rsidDel="00000000">
              <w:rPr>
                <w:rtl w:val="0"/>
              </w:rPr>
              <w:t xml:space="preserve">LDDK neapšauba, ka </w:t>
            </w:r>
            <w:r w:rsidR="00000000" w:rsidRPr="00000000" w:rsidDel="00000000">
              <w:rPr>
                <w:i w:val="1"/>
                <w:rtl w:val="0"/>
              </w:rPr>
              <w:t xml:space="preserve">“Atbilstoši NVD 29.01.2024 iekšējiem noteikumiem Nr.16-4.1/3/2024 “Veselības aprūpes pakalpojumu izmaksu aprēķināšanas un pārrēķināšanas noteikumi”, NVD ir tiesīgs veikt tarifu pārrēķinu, ja  ārstniecības iestāžu pārskatos atspoguļotā informācija par faktisko līdzekļu izlietojumu atšķiras no sniegtā veselības aprūpes pakalpojuma tarifa aprēķinos izmantotās informācijas; konstatēta neracionāla valsts budžeta līdzekļu izlietošana (piemēram, manipulācijas tarifs pārsniedz šī pakalpojuma cenu saskaņā ar ārstniecības iestādes maksas pakalpojumu cenrādi) vai nepieciešams precizēt veselības aprūpes pakalpojumu apmaksas nosacījumus.”</w:t>
            </w:r>
            <w:r w:rsidR="00000000" w:rsidRPr="00000000" w:rsidDel="00000000">
              <w:rPr>
                <w:rtl w:val="0"/>
              </w:rPr>
              <w:t xml:space="preserve"> Vienlaikus LDDK nepiekrīt Izziņā paustajam viedoklim, ka jaunajos tarifos visas izmaksu pozīcijas ir ietvertas  atbilstoši normatīvo aktu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publicēta dienesta tīmekļa vietnē: https://www.vmnvd.gov.lv/lv/pakalpojumu-tarifi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27.05.2024.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27.05.2024.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Atzinumi_24-TA-1183.docx</dc:title>
</cp:coreProperties>
</file>

<file path=docProps/custom.xml><?xml version="1.0" encoding="utf-8"?>
<Properties xmlns="http://schemas.openxmlformats.org/officeDocument/2006/custom-properties" xmlns:vt="http://schemas.openxmlformats.org/officeDocument/2006/docPropsVTypes"/>
</file>