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kiberdrošības stratēģiju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kiberdrošības stratēģiju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 izsaka bažas par informatīvajā ziņojumā pausto, ka Stratēģijas īstenošanai plānotie finanšu avoti pamatā ir valsts un pašvaldību budžets</w:t>
            </w:r>
            <w:r w:rsidR="00000000" w:rsidRPr="00000000" w:rsidDel="00000000">
              <w:rPr>
                <w:rtl w:val="0"/>
              </w:rPr>
              <w:t xml:space="preserve">, savukārt Rīcības virzienu uzdevumu īstenošanai var piesaistīt ES struktūrfondu (Eiropas Reģionālās attīstības fonds, Eiropas Sociālais fonds, Kohēzijas fonds) finanšu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 saredz riskus pietiekamu resursu nodrošināšanā konkrēto mērķu sasniegšanā un uzdevumu izpildē, </w:t>
            </w:r>
            <w:r w:rsidR="00000000" w:rsidRPr="00000000" w:rsidDel="00000000">
              <w:rPr>
                <w:rtl w:val="0"/>
              </w:rPr>
              <w:t xml:space="preserve">ņemot vērā kopumā lielos paredzētos investīciju resursus digitālās transformācijas jomā, ņemot vērā kiberdrošības aspektu nozīmīgu ikvienā no digitālās transformācijas projektiem privātajā, NVO un publiskajā sektorā.  (Piemēram, Digitālās transformācijas pamatnostādnes 2021.-2027.gadam” kā vidēja termiņa politikas plānošanas dokuments kiberdrošībai atvēl mazāk par 2% investīciju no kopējā Eiropas Savienības daudzgadu budžeta finansējuma). Laikā, kad piedzīvojam pieaugošus asimetriskos kiberuzbrukumus publiskām un privātām organizācijām, kiberdrošībai ir jāpievērš proporcionāli līdzvērtīga uzmanība plānojot īsa, vidēja un ilgtermiņa rīcībpolitiku. Paredzams, ka norisinoties straujām investīcijām digitālajā transformācijā, pieaugs apdraudējums kibertelpā. Patreiz atvēlot mazāk par 2% no kopējā daudzgadu budžeta kiberdrošībai, nebūs iespēja veikt stratēģiskus kiberdrošības uzlabojumus un īstenot digitālo transformāciju publiskā un privātā sektorā.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sniedzam šādus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Svarīgi ir akcentēt un integrēt tieši NVO iesaisti stratēģijas konkrētu uzdevumu ieviešanā.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būtiski stratēģijā ietvert to, kā industrija iesaistīsies stratēģisko mērķu sasniegšanā.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Kiberdrošībā ir trīs svarīgi elementi: cilvēki, procesi un tehnoloģijas. Esošajā dokumentā ir aprakstīti procesi, taču pietrūkst struktūras un skaidra sadalījuma pa ieinteresētajām/iesaistītajām pusēm, ir daudz uzsvērts par cilvēku resursiem, taču pietrūkst stratēģiskā rīcības plāna, kā arī netiek runāts par tehnoloģijām - par stratēģisko tehnoloģiju attīstību. Ņemot vērā ka stratēģija plānota līdz 2026.gadam ir jābūt konkrētam rīcības plānam uz tehnoloģisko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23.01.2023. 23.34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23.01.2023. 23.34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Atzinumi_22-TA-3470.docx</dc:title>
</cp:coreProperties>
</file>

<file path=docProps/custom.xml><?xml version="1.0" encoding="utf-8"?>
<Properties xmlns="http://schemas.openxmlformats.org/officeDocument/2006/custom-properties" xmlns:vt="http://schemas.openxmlformats.org/officeDocument/2006/docPropsVTypes"/>
</file>