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noteikumu konsolidētajā versijā ietvertā terminoloģija un sarežģītā valoda (piemēram, noteikumu 9., 11. 15. punkts) un noteikumu projekta neizdiskutēšana ekspertu un iesaistīto pušu starpā rada šaubas par šo noteikumu atbilstošu pielietošanu attiecībā uz lauksaimniecības un meža biomasas ilgtspējīgu ieguvi. Respektīvi – lai, no vienas puses, netiktu likti šķēršļi biomasas apritei, kas iegūta atjaunojot bioloģiski vērtīgus zālājus un mitrājus (Eiropas Savienības nozīmes zālāju un purvu biotopus) un, no otras puses, netiktu atbalstīta nepamatota biomasas ieguve bioloģiski augstvērtīgās mežu platībās (Eiropas Savienības nozīmes mežu biotopos).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Papildināt ar 2.24.</w:t>
            </w:r>
            <w:r w:rsidR="00000000" w:rsidRPr="00000000" w:rsidDel="00000000">
              <w:rPr>
                <w:vertAlign w:val="superscript"/>
                <w:rtl w:val="0"/>
              </w:rPr>
              <w:t xml:space="preserve">2</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ka </w:t>
            </w:r>
            <w:r w:rsidR="00000000" w:rsidRPr="00000000" w:rsidDel="00000000">
              <w:rPr>
                <w:i w:val="1"/>
                <w:rtl w:val="0"/>
              </w:rPr>
              <w:t xml:space="preserve">““Senie meži” redakcija ir pielāgota nacionālajai normatīvajai videi un nacionālajam kontekstam”</w:t>
            </w:r>
            <w:r w:rsidR="00000000" w:rsidRPr="00000000" w:rsidDel="00000000">
              <w:rPr>
                <w:rtl w:val="0"/>
              </w:rPr>
              <w:t xml:space="preserve">, taču Latvijā normatīvos līdz šim netiek lietots šāds jēdziens un par to no bijusi publiska diskusija ārpus šo noteikumu projekta izstrādes procesa, kā arī nav iespējams iepazīties ar anotācijā minēto Latvijas valsts mežzinātnes institūta “Silava” veikto pētījumu. Pretēji Eiropas Komisijas vadlīnijās (Guidelines for Defining, Mapping, Monitoring and Strictly Protecting EU Primary and Old-Growth Forests (https://environment.ec.europa.eu/document/download/8abe3c97-612c-4073-95d0-3c914eca9ee9_en ) minētajam, noteikumu projektā ietvertajā seno meži definīcijā iekļauti divi skaitliski (un Latvijas apstākļos praktiski neizpildāmi) platības rādītāji, kā arī nepamatots nosacījums par neveiktu meliorāciju. Tāpat arī citi definīcijā ietvertie rādītāji nav praktiski pielietojami, piemēram </w:t>
            </w:r>
            <w:r w:rsidR="00000000" w:rsidRPr="00000000" w:rsidDel="00000000">
              <w:rPr>
                <w:i w:val="1"/>
                <w:rtl w:val="0"/>
              </w:rPr>
              <w:t xml:space="preserve">“ilgstoši un nepārtraukti bijusi meža ekosistēma”</w:t>
            </w:r>
            <w:r w:rsidR="00000000" w:rsidRPr="00000000" w:rsidDel="00000000">
              <w:rPr>
                <w:rtl w:val="0"/>
              </w:rPr>
              <w:t xml:space="preserve"> (cik ilgi?), </w:t>
            </w:r>
            <w:r w:rsidR="00000000" w:rsidRPr="00000000" w:rsidDel="00000000">
              <w:rPr>
                <w:i w:val="1"/>
                <w:rtl w:val="0"/>
              </w:rPr>
              <w:t xml:space="preserve">“raksturīga augsta strukturālā kompleksitāte”</w:t>
            </w:r>
            <w:r w:rsidR="00000000" w:rsidRPr="00000000" w:rsidDel="00000000">
              <w:rPr>
                <w:rtl w:val="0"/>
              </w:rPr>
              <w:t xml:space="preserve"> (ko tas ietver?). Līdz ar to noteikumu projektā iekļautā seno mežu definīcija neatbilst ne Eiropas Komisijas vadlīnijām, ne Latvijas nacionālajam kontekstam.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normatīvos tiek lietots jēdziens “Eiropas Savienības nozīmes biotopi”, šie biotopi ir minēti Padomes Direktīvas 92/43/EEK pielikumā un skaidroti gan Eiropas Komisijas, gan Latvijas nacionālajās vadlīnijās. </w:t>
            </w:r>
            <w:r w:rsidR="00000000" w:rsidRPr="00000000" w:rsidDel="00000000">
              <w:rPr>
                <w:b w:val="1"/>
                <w:rtl w:val="0"/>
              </w:rPr>
              <w:t xml:space="preserve">Līdz ar to atbilstoši mežu ekoloģijai, vadlīnijām un Latvijas nacionālajam kontekstam atbilstoši būtu veco mežu (“seno mežu”,  Old-Growth Forests) definīcijā ietvert </w:t>
            </w:r>
            <w:r w:rsidR="00000000" w:rsidRPr="00000000" w:rsidDel="00000000">
              <w:rPr>
                <w:b w:val="1"/>
                <w:u w:val="single"/>
                <w:rtl w:val="0"/>
              </w:rPr>
              <w:t xml:space="preserve">ES nozīmes mežu biotopus</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28.10.2024. 22.15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28.10.2024. 22.15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