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Likviditātes pārvaldības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Atvērta fonda pārvaldnieks drīkst izmantot šādus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parakstīšanās un atpakaļpirkšanas apturēšanu, uz laiku aizliedzot pieņemt pieteikumus uz fonda ieguldījumu apliecību pirkšanu (turpmāk arī  - parakstīšanās)  vai to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atpakaļpirkšanas ierobežojumu, īslaicīgi un daļēji ierobežojot ieguldījumu daļu turētāju tiesības atpakaļpirkt savas ieguldījumu daļas, lai ieguldītāji varētu atpakaļpirkt tikai noteiktu daļu no savām ieguldījumu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brīdinājuma termiņu pagarināšanu, pagarinot fonda darbības noteikumos noteikto minimālo termiņu, kādā ieguldītājs iepriekš brīdina pārvaldnieku par savu ieguldījumu daļu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atpakaļpirkšanas komisijas naudu, nosakot maksu diapazonā, kurā ņemtas vērā likviditātes izmaksas, ko ieguldījumu daļu turētāji maksā fondam, kad tie iesniedz fondam atpakaļpirkšanai ieguldījumu daļas, un kas nodrošina, ka pārējie fonda daļu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mainīgu cenu noteikšanu, izmantojot iepriekš noteiktu cenu mehānismu, lai fonda ieguldījumu daļu neto aktīvu vērtību koriģētu, piemērojot mainīgo koeficientu,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divējādu cenu noteikšanu, izmantojot iepriekš noteiktu cenu mehānismu, ar kuru nosaka parakstīšanās uz ieguldījumu daļām un atpakaļpirkšanas cenas, koriģējot neto aktīvu vērtību uz vienu ieguldījumu daļu ar faktoru,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vērtības samazinājuma novēršanas maksu, kuru ieguldījumu daļu turētājs iemaksā fondā brīdī, kad tas parakstās uz ieguldījumu daļām, iesniedz tās atpakaļpirkšanai vai atpakaļpieņemšanai, un kura fondam kompensē likviditātes izmaksas, kuras radušās minētā darījuma apjoma dēļ, un kas nodrošina, ka citi ieguldījumu daļu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atpakaļpirkšanu natūrā, nododot fonda turētos aktīvus naudas līdzekļu vietā, lai apmierinātu ieguldījumu daļu turētāju atpakaļpirkšanas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norobežotos kontus, nošķirot no citiem fonda aktīviem atsevišķus aktīvus, kuru ekonomiskās vai juridiskās iezīmes ir būtiski mainījušās vai kļuvušas neskaidras ārkārtas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likviditātes pārvaldības instrumentu īpašības nosaka tieši piemērojamie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Atvērtā fonda likviditātes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Atvērtā fonda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 šā likuma 26.</w:t>
            </w:r>
            <w:r w:rsidR="00000000" w:rsidRPr="00000000" w:rsidDel="00000000">
              <w:rPr>
                <w:vertAlign w:val="superscript"/>
                <w:rtl w:val="0"/>
              </w:rPr>
              <w:t xml:space="preserve">1</w:t>
            </w:r>
            <w:r w:rsidR="00000000" w:rsidRPr="00000000" w:rsidDel="00000000">
              <w:rPr>
                <w:rtl w:val="0"/>
              </w:rPr>
              <w:t xml:space="preserve"> pantā minēto likviditātes pārvaldības instrumentu piemērotību saistībā ar fonda īstenoto ieguldījumu stratēģiju, likviditātes profilu un atpakaļpirkšanas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 šā likuma 26.</w:t>
            </w:r>
            <w:r w:rsidR="00000000" w:rsidRPr="00000000" w:rsidDel="00000000">
              <w:rPr>
                <w:vertAlign w:val="superscript"/>
                <w:rtl w:val="0"/>
              </w:rPr>
              <w:t xml:space="preserve">1</w:t>
            </w:r>
            <w:r w:rsidR="00000000" w:rsidRPr="00000000" w:rsidDel="00000000">
              <w:rPr>
                <w:rtl w:val="0"/>
              </w:rPr>
              <w:t xml:space="preserve"> panta pirmās daļas 1. un 9.punktā minētos likviditātes pārvaldības instrumentus un papildus izvēlas vismaz divus citus piemērotus likviditātes pārvaldības instrumentus;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iekļauj likviditātes pārvaldības instrumentus fonda darbības noteikumos vai dibināšanas dokumentā, paredzot iespēju tos izmantot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neizvēlas kā vienīgos likviditātes pārvaldības instrumentus šā likuma 26.</w:t>
            </w:r>
            <w:r w:rsidR="00000000" w:rsidRPr="00000000" w:rsidDel="00000000">
              <w:rPr>
                <w:vertAlign w:val="superscript"/>
                <w:rtl w:val="0"/>
              </w:rPr>
              <w:t xml:space="preserve">1</w:t>
            </w:r>
            <w:r w:rsidR="00000000" w:rsidRPr="00000000" w:rsidDel="00000000">
              <w:rPr>
                <w:rtl w:val="0"/>
              </w:rPr>
              <w:t xml:space="preserve"> panta pirmās daļas 5. un 6.punktā noteiktos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Naudas tirgus fondam atvērtā fonda pārvaldnieks var izvēlēties tikai vienu no šā likuma 26.</w:t>
            </w:r>
            <w:r w:rsidR="00000000" w:rsidRPr="00000000" w:rsidDel="00000000">
              <w:rPr>
                <w:vertAlign w:val="superscript"/>
                <w:rtl w:val="0"/>
              </w:rPr>
              <w:t xml:space="preserve">1</w:t>
            </w:r>
            <w:r w:rsidR="00000000" w:rsidRPr="00000000" w:rsidDel="00000000">
              <w:rPr>
                <w:rtl w:val="0"/>
              </w:rPr>
              <w:t xml:space="preserve"> panta pirmās daļas 2., 3., 4., 5., 6., 7. un 8.punktā minētajiem likviditātes pārvaldības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Atvērtā fonda pārvaldnieks izstrādā un apstiprina detalizētu politiku un procedūras  jebkura izmantojamā likviditātes pārvaldības instrumenta aktivizēšanai un deaktivizēšanai, kā arī darbības un administratīvos pasākumus šāda instrumenta lietošanai.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Atpakaļpirkšanu natūrā atvērtā fonda pārvaldnieks aktivizē vienīgi nolūkā izpildīt profesionālo ieguldītāju pieprasīto atpakaļpirkšanu, nodrošinot, ka atpakaļpirkšana natūrā atbilst ieguldītāju fondā turēto aktīvu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Atpakaļpirkšana natūrā var neatbilst ieguldītāju fondā turēto aktīvu proporcijai, ja šis fonds tiek tirgots tikai profesionāliem ieguldītājiem vai ja šāda fonda ieguldījumu politikas mērķis ir replicēt noteikta akciju vai parāda vērtspapīru indeksa sastāvu un ja šis fonds ir biržā tirgots fonds Finanšu instrumentu tirgus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Atvērtā fonda pārvaldnieks fonda ieguldītāju interesēs drīkst uz laiku apturēt parakstīšanos uz fonda ieguldījumu daļām, to  atpakaļpirkšanu vai aktivizēt vai deaktivizēt citus likviditātes pārvaldības instrumentus, ja šie instrumenti ir iekļauti fonda darbības noteikumos vai dibināšanas dokumentā. Fonda ieguldītāju interesēs atvērtā fonda pārvaldnieks var arī aktivizēt šā likuma 26.</w:t>
            </w:r>
            <w:r w:rsidR="00000000" w:rsidRPr="00000000" w:rsidDel="00000000">
              <w:rPr>
                <w:vertAlign w:val="superscript"/>
                <w:rtl w:val="0"/>
              </w:rPr>
              <w:t xml:space="preserve">1</w:t>
            </w:r>
            <w:r w:rsidR="00000000" w:rsidRPr="00000000" w:rsidDel="00000000">
              <w:rPr>
                <w:rtl w:val="0"/>
              </w:rPr>
              <w:t xml:space="preserve"> panta pirmās daļas 9.punktā minētos norobežotos kontus.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Atvērtā fonda pārvaldnieks parakstīšanās un atpakaļpirkšanas apturēšanu vai norobežotos kontus izmanto tikai ārkārtējos gadījumos, ja apstākļi to prasa un ja tas ir pamatoti, ņemot vērā fonda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Atvērtā fonda pārvaldnieks nekavējoties paziņo Latvijas Bankai par jebkuru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tas aktivizē vai deaktivizē parakstīšanās un atpakaļpirkšanas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tas aktivizē vai deaktivizē kādu no šā likuma 26.</w:t>
            </w:r>
            <w:r w:rsidR="00000000" w:rsidRPr="00000000" w:rsidDel="00000000">
              <w:rPr>
                <w:vertAlign w:val="superscript"/>
                <w:rtl w:val="0"/>
              </w:rPr>
              <w:t xml:space="preserve">1</w:t>
            </w:r>
            <w:r w:rsidR="00000000" w:rsidRPr="00000000" w:rsidDel="00000000">
              <w:rPr>
                <w:rtl w:val="0"/>
              </w:rPr>
              <w:t xml:space="preserve"> panta pirmās daļas 2., 3., 4., 5., 6., 7. un 8.punktā minētajiem likviditātes pārvaldības instrumentiem  veidā, kas neatbilst pārvaldnieka  parasti veiktajai komercdarbībai  šajā fondā, kā to paredz fonda darbības noteikumi vai dibināšanas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pirmajā un otrajā daļā minēto izvēli, kā arī detalizētu aktivizēšanas un deaktivizēšanas politiku un procedūras atvērtā fonda pārvaldnieks iesniedz Latvijas Bankai šā likuma 10.pantā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atvērtā fonda pārvaldnieks plāno aktivizēt vai deaktivizēt norobežotos kontus, tas nekavējoties par to paziņo Latvijas Bankai, norādot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 nekavējoties informē atvērtā fonda pārvaldnieka uzņēmējas dalībvalsts uzraudzības institūciju, Eiropas Vērtspapīru un tirgu iestādi un, ja pastāv potenciāli riski finanšu sistēmas stabilitātei un integritātei, arī Eiropas Sistēmisko risku kolēģiju, par visiem paziņojumiem, kurus tā saņēmusi no atvērtā fonda pārvaldnieka saskaņā ar šā panta astoto vai devīto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vai Alternatīvo ieguldījumu fondu un to pārvaldnieku likuma (turpmāk - likums) 26.</w:t>
            </w:r>
            <w:r w:rsidR="00000000" w:rsidRPr="00000000" w:rsidDel="00000000">
              <w:rPr>
                <w:vertAlign w:val="superscript"/>
                <w:rtl w:val="0"/>
              </w:rPr>
              <w:t xml:space="preserve">2</w:t>
            </w:r>
            <w:r w:rsidR="00000000" w:rsidRPr="00000000" w:rsidDel="00000000">
              <w:rPr>
                <w:rtl w:val="0"/>
              </w:rPr>
              <w:t xml:space="preserve"> panta pirmās daļas 2. punktā pilnībā pārņemta korespondējošā direktīvas prasība ("</w:t>
            </w:r>
            <w:r w:rsidR="00000000" w:rsidRPr="00000000" w:rsidDel="00000000">
              <w:rPr>
                <w:i w:val="1"/>
                <w:rtl w:val="0"/>
              </w:rPr>
              <w:t xml:space="preserve">Lai nodrošinātu atbilstību šā panta 1. un 2. punktam, AIFP, kas pārvalda atvērtu AIF, izvēlas </w:t>
            </w:r>
            <w:r w:rsidR="00000000" w:rsidRPr="00000000" w:rsidDel="00000000">
              <w:rPr>
                <w:i w:val="1"/>
                <w:u w:val="single"/>
                <w:rtl w:val="0"/>
              </w:rPr>
              <w:t xml:space="preserve">vismaz divus piemērotus likviditātes pārvaldības instrumentus no tiem, kas minēti V pielikuma 2. līdz 8. punktā</w:t>
            </w:r>
            <w:r w:rsidR="00000000" w:rsidRPr="00000000" w:rsidDel="00000000">
              <w:rPr>
                <w:rtl w:val="0"/>
              </w:rPr>
              <w:t xml:space="preserve">"). Proti, lūdzam skaidrot likumprojektā ietvertās normas atbilstību direktīvai, skaidrojot, kur direktīvā ir paredzēts, ka izvēlas direktīvas V pielikuma 1. un 9. punktā minētos likviditātes pārvaldības instrumentus un papildus izvēlas vismaz divus citus piemērotus likviditātes pārvaldības instrumentus. Ja nepieciešams,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pants. “(2</w:t>
            </w:r>
            <w:r w:rsidR="00000000" w:rsidRPr="00000000" w:rsidDel="00000000">
              <w:rPr>
                <w:vertAlign w:val="superscript"/>
                <w:rtl w:val="0"/>
              </w:rPr>
              <w:t xml:space="preserve">1</w:t>
            </w:r>
            <w:r w:rsidR="00000000" w:rsidRPr="00000000" w:rsidDel="00000000">
              <w:rPr>
                <w:rtl w:val="0"/>
              </w:rPr>
              <w:t xml:space="preserve">) Ja fonda, pārvaldnieka vai turētājbankas uzraudzību veic dažādas institūcijas, Latvijas Banka nekavējoties apmainās ar informāciju, kas ir nepieciešama to uzraudzības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25. pantā ietverto likuma 48. panta 2.</w:t>
            </w:r>
            <w:r w:rsidR="00000000" w:rsidRPr="00000000" w:rsidDel="00000000">
              <w:rPr>
                <w:vertAlign w:val="superscript"/>
                <w:rtl w:val="0"/>
              </w:rPr>
              <w:t xml:space="preserve">1</w:t>
            </w:r>
            <w:r w:rsidR="00000000" w:rsidRPr="00000000" w:rsidDel="00000000">
              <w:rPr>
                <w:rtl w:val="0"/>
              </w:rPr>
              <w:t xml:space="preserve"> daļu, norādot, ar ko Latvijas Banka nekavējoties apmainās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"(6) Ja Latvijas Banka ir izmantojusi šā likuma 81.panta septītās daļas 14.punktā minētās tiesības, tā par to nekavējoties informē pārvaldnieka uzņēmējas dalībvalsts uzraudzības institūciju, Eiropas Vērtspapīru un tirgu iestādi un – ja pastāv riski finanšu sistēmas stabilitātei un integritātei –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Bankai ir tiesības pieprasīt pārvaldnieka izcelsmes dalībvalsts uzraudzības institūcijai īstenot šā likuma 81.panta septītās daļas 14.punktā minētās darbības, par to informējot Eiropas Vērtspapīru un tirgu iestādi un – ja pastāv riski finanšu sistēmas stabilitātei un integritātei, arī Eiropas Sistēmisko risku kolēģiju. Ja pārvaldnieka uzņēmējas dalībvalsts uzraudzības institūcija ir pieprasījusi Latvijas Bankai īstenot šā likuma 81.panta septītās daļas 14.punktā minētās tiesības, bet Latvijas Banka nepiekrīt izpildīt šo pieprasījumu, Latvijas Banka par to informē pārvaldnieka uzņēmējas dalībvalsts uzraudzības institūciju, Eiropas Vērtspapīru un tirgu iestādi un – ja Eiropas Sistēmisko risku kolēģija tika informēta par pieprasījumu – arī Eiropas Sistēmisko risku kolēģiju, norādot nepiekrišanas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Eiropas Vērtspapīru un tirgu iestāde ir sniegusi atzinumu par tiesību īstenošanu saskaņā ar šā likuma 81.panta septītās daļas 14.punktā minēto, bet Latvijas Banka nerīkojas saskaņā ar to vai neplāno ievērot minēto atzinumu, tā par to informē Eiropas Vērtspapīru un tirgu iestādi un pārvaldnieka uzņēmējas dalībvalsts uzraudzības institūciju, norādot šādas rīcības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ja tai ir pamatots iemesls to darīt, var pieprasīt pārvaldnieka izcelsmes dalībvalsts uzraudzības institūcijai nekavējoties īstenot šā likuma 81.panta septītajā daļā, izņemot 14.punktā, minētās tiesības, iespējami precīzi norādot pieprasījuma iemeslus un informējot par to Eiropas Vērtspapīru un tirgu iestādi un, ja pastāv iespējami riski finanšu sistēmas stabilitātei un integritātei,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 par īstenotajām tiesībām un saviem konstatējumiem bez nepamatotas kavēšanās informē pārvaldnieka uzņēmējas dalībvalsts uzraudzības institūciju, Eiropas Vērtspapīru un tirgu iestādi un, ja pastāv potenciāli riski finanšu sistēmas stabilitātei un integritātei,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pārvaldnieks ir saņēmis Latvijas Bankas atļauju par fonda turētājbanku izvēlēties citā dalībvalstī reģistrētu kredītiestādi, un ja Latvijas Bankai  ir pamatots iemesls uzskatīt, ka turētājbanka veic vai ir veikusi darbības, kas ir pretrunā ar normatīvajiem aktiem, Latvijas Banka nekavējoties par to informē Eiropas Vērtspapīru un tirgu iestādi un attiecīgās turētājbankas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Eiropas Vērtspapīru un tirgu iestāde pieprasa, Latvijas Banka bez nepamatotas kavēšanās iesniedz Eiropas Vērtspapīru un tirgu iestādei paskaidrojumus par konkrētiem gadījumiem, kuri rada nopietnus draudus ieguldītāju aizsardzībai, apdraud finanšu tirgu pienācīgu darbību un integritāti vai rada riskus visas finanšu sistēmas vai tās daļas stabilitātei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izslēgt vai atbilstoši precizēt likumprojekta 36. pantā ietverto likuma 87. panta septīto un devīto daļu. No minētajām normām, kaut netieši, izriet pienākumu paredzēšana citas dalībvalsts institūcijai. Atgādinām, ka izrietoši no teritoriālās jurisdikcijas principa likumdevējs nav tiesīgs paredzēt tiesības un pienākumus tiem tiesību subjektiem, kas nav pakļauti tā jurisdikcijai. Lūdzam izvērtēt minēto regulējumu un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vai un kā likuma 10. panta pirmajā daļā pilnībā un korekti pārņemts Direktīvas Nr. 2024/927 1. panta 3. punkta “a” apakšpunkts (7. panta 2. punkta “b” apakšpunkts) ("</w:t>
            </w:r>
            <w:r w:rsidR="00000000" w:rsidRPr="00000000" w:rsidDel="00000000">
              <w:rPr>
                <w:i w:val="1"/>
                <w:rtl w:val="0"/>
              </w:rPr>
              <w:t xml:space="preserve">informāciju par AIFP tiešu vai netiešu akcionāru vai dalībnieku identitāti, fiziskām un juridiskām personām, kurām ir būtiska līdzdalība, un par šādas līdzdalības apjomu</w:t>
            </w:r>
            <w:r w:rsidR="00000000" w:rsidRPr="00000000" w:rsidDel="00000000">
              <w:rPr>
                <w:rtl w:val="0"/>
              </w:rPr>
              <w:t xml:space="preserve">"). Alternatīvi aicinām precizēt tabulu, kā arī, ja prasība pārņemta arī citās likuma vienībās, attiecīgi papildināt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pants. "5) kas paredzēta normatīvajos aktos nodokļu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likumprojekta 35.pants papildina likuma 85.panta otro daļu ar 5.punktu, paredzot, ka aizliegums izpaust ierobežotas pieejamības informāciju neattiecas uz informāciju, kas paredzēta normatīvajos  aktos nodokļu jomā. Ar minēto grozījumu tiek pārņemtas Direktīvas Nr. 2024/927 prasības. Ierosinām papildināt anotāciju, jo tajā nav sniegts skaidrojums, kāpēc šāds regulējums ir nepieciešams, kādas ir problēmas un kā tieši tās tiek risinātas ar likumprojektā paredzēto normu. Šobrīd anotācijā sniegtais skaidrojums ir ļoti vispārīgs.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izziņas 31. punktā sniegto skaidrojumu par to, kādēļ paredzēts likumā aizstāt vārdu "pakalpojums" ar vārdu "darbība", aicinām sniegt izvērstāku skaidrojumu anotācijā, norādot, vai un kāda ietekme pēc būtības grozījumiem ir uz privātpersonu tiesībām un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14. punktā ietverto skaidrojumu par likumprojekta 37. pantā ietvertā likuma pārejas noteikumu 29. punktu ietvert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vai ar paredzēto grozījumu 85. panta otrajā daļā ir pietiekami, lai pilnībā pārņemtu direktīvas 21. panta "a" un "b" punktu aizstāto direktīvas 47. panta 2. un 3. punktu, tostarp 3. punkta otro daļu. Proti, aicinām izvērstāk skaidrot, kā tieši likuma spēkā esošajā redakcijā un likumprojektā ir pārņemtas minēto direktīvas normu prasības. Ja nepieciešams, aicinām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10.03.2026.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10.03.2026.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Atzinumi_25-TA-2104.docx</dc:title>
</cp:coreProperties>
</file>

<file path=docProps/custom.xml><?xml version="1.0" encoding="utf-8"?>
<Properties xmlns="http://schemas.openxmlformats.org/officeDocument/2006/custom-properties" xmlns:vt="http://schemas.openxmlformats.org/officeDocument/2006/docPropsVTypes"/>
</file>