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3DE6" w14:textId="70A8C3FB" w:rsidR="00756829" w:rsidRPr="003D5D12" w:rsidRDefault="00756829" w:rsidP="00756829">
      <w:pPr>
        <w:jc w:val="both"/>
        <w:rPr>
          <w:b/>
          <w:bCs/>
          <w:u w:val="single"/>
        </w:rPr>
      </w:pPr>
      <w:r w:rsidRPr="003D5D12">
        <w:rPr>
          <w:b/>
          <w:bCs/>
          <w:u w:val="single"/>
        </w:rPr>
        <w:t>MK 327.</w:t>
      </w:r>
    </w:p>
    <w:p w14:paraId="024A338B" w14:textId="7042A4A7" w:rsidR="00756829" w:rsidRDefault="00756829" w:rsidP="00756829">
      <w:pPr>
        <w:jc w:val="both"/>
      </w:pPr>
      <w:r>
        <w:t>[1] Aicinām Ekonomikas ministriju saglabāt iepriekš svītrotos noteikumu projekta 2.11. un 2.12. apakšpunktus tālāk norādīto apsvērumu dēļ.</w:t>
      </w:r>
    </w:p>
    <w:p w14:paraId="53360AA0" w14:textId="2420A3A6" w:rsidR="00756829" w:rsidRDefault="00756829" w:rsidP="00756829">
      <w:pPr>
        <w:jc w:val="both"/>
      </w:pPr>
      <w:r>
        <w:t xml:space="preserve">[2] Pretēji Latvijas Finanšu nozares asociācijas paustajam iebildumam, vēlamies īpaši uzsvērt, </w:t>
      </w:r>
      <w:r w:rsidRPr="00756829">
        <w:t xml:space="preserve">ka šobrīd </w:t>
      </w:r>
      <w:proofErr w:type="spellStart"/>
      <w:r w:rsidRPr="00756829">
        <w:t>kredītinformācijas</w:t>
      </w:r>
      <w:proofErr w:type="spellEnd"/>
      <w:r w:rsidRPr="00756829">
        <w:t xml:space="preserve"> biroji nesaņem detalizētu informāciju par klientu ikmēneša saistību maksājumu apmēru, bet gan tikai vispārīgus pamatsummu atlikumus, sākotnējos līguma termiņus un procentu likmes. Šī informācija nav pietiekama, lai </w:t>
      </w:r>
      <w:proofErr w:type="spellStart"/>
      <w:r w:rsidRPr="00756829">
        <w:t>kredītdevēji</w:t>
      </w:r>
      <w:proofErr w:type="spellEnd"/>
      <w:r w:rsidRPr="00756829">
        <w:t xml:space="preserve"> varētu veikt precīzu un objektīvu patērētāja maksātspējas novērtējumu. Līdz ar to pašreizējais regulējums, pretēji iebildumā norādītajam, nesniedz pilnu priekšstatu par klienta faktisko ikmēneša slodzi un finansiālajām iespējām. Tā kā PTAC pamata prasība ir izmantot DSTI metodi patērētāju spējas atmaksāt kredītu izvērtēšanā, tad tieši dati par kredītsaistību ikmēneša apmēru ir </w:t>
      </w:r>
      <w:proofErr w:type="spellStart"/>
      <w:r w:rsidRPr="00756829">
        <w:t>visbūtiskie</w:t>
      </w:r>
      <w:proofErr w:type="spellEnd"/>
      <w:r w:rsidRPr="00756829">
        <w:t>, nevis dati par kopējo kredīta atlikumu vai cita šobrīd Ministru kabineta noteikumos paredzētā informācija. Tāpēc pēc iespējas ātrāk ir nepieciešams nodrošināt, ka kredītu devēji apmainās ar pašiem būtiskākajiem datiem - ikmēneša kredītsaistību apmēriem, kuri primāri tiek izmantoti ar DSTI metodes palīdzību vai ar "ienākumi mīnuss izdevumi" metodi.</w:t>
      </w:r>
    </w:p>
    <w:p w14:paraId="342FDBCB" w14:textId="3AA3C004" w:rsidR="00756829" w:rsidRDefault="00756829" w:rsidP="00756829">
      <w:pPr>
        <w:jc w:val="both"/>
      </w:pPr>
      <w:r>
        <w:t xml:space="preserve">[3] Iebildumā minētais iespējamais administratīvais un tehniskais slogs ir būtiski pārspīlēts. </w:t>
      </w:r>
      <w:proofErr w:type="spellStart"/>
      <w:r>
        <w:t>Kredītdevējiem</w:t>
      </w:r>
      <w:proofErr w:type="spellEnd"/>
      <w:r>
        <w:t xml:space="preserve"> informācija par ikmēneša maksājumu apmēru jau ir pieejama, jo tā tiek aprēķināta brīdī, kad tiek izstrādāts maksājumu grafiks. Šādas informācijas nodošana </w:t>
      </w:r>
      <w:proofErr w:type="spellStart"/>
      <w:r>
        <w:t>kredītinformācijas</w:t>
      </w:r>
      <w:proofErr w:type="spellEnd"/>
      <w:r>
        <w:t xml:space="preserve"> birojiem nav saistīta ar jaunas informācijas radīšanu vai sarežģītiem procesiem, bet tikai ar tās tehnisku pārsūtīšanu standartizētā veidā.</w:t>
      </w:r>
    </w:p>
    <w:p w14:paraId="1897D8F6" w14:textId="358AC220" w:rsidR="00756829" w:rsidRDefault="00756829" w:rsidP="00756829">
      <w:pPr>
        <w:jc w:val="both"/>
      </w:pPr>
      <w:r>
        <w:t xml:space="preserve">[4] Svarīgi uzsvērt, ka atsauce uz Latvijas Bankas noteikumiem Nr. 160 "Kredītu reģistra noteikumi" nav pilnībā pamatota, jo kredītu reģistrs un </w:t>
      </w:r>
      <w:proofErr w:type="spellStart"/>
      <w:r>
        <w:t>kredītinformācijas</w:t>
      </w:r>
      <w:proofErr w:type="spellEnd"/>
      <w:r>
        <w:t xml:space="preserve"> biroji kalpo atšķirīgiem mērķiem. Kredītu reģistrs ir sistēmiskas uzraudzības un finanšu stabilitātes instruments, savukārt </w:t>
      </w:r>
      <w:proofErr w:type="spellStart"/>
      <w:r>
        <w:t>kredītinformācijas</w:t>
      </w:r>
      <w:proofErr w:type="spellEnd"/>
      <w:r>
        <w:t xml:space="preserve"> biroju galvenais uzdevums ir individuālās maksātspējas novērtējums, kas prasa detalizētāku un precīzāku informāciju.</w:t>
      </w:r>
    </w:p>
    <w:p w14:paraId="6AEE44BD" w14:textId="467B1EB6" w:rsidR="00756829" w:rsidRDefault="00756829" w:rsidP="00756829">
      <w:pPr>
        <w:jc w:val="both"/>
      </w:pPr>
      <w:r>
        <w:t xml:space="preserve">[5] Turklāt, sniedzot </w:t>
      </w:r>
      <w:proofErr w:type="spellStart"/>
      <w:r>
        <w:t>kredītinformācijas</w:t>
      </w:r>
      <w:proofErr w:type="spellEnd"/>
      <w:r>
        <w:t xml:space="preserve"> birojiem precīzus datus par ikmēneša saistību maksājumiem, tiek stiprināts patērētāju aizsardzības līmenis, samazināti pārmērīgas kreditēšanas riski un ilgtermiņā mazināts maksātnespējas gadījumu skaits. Tas ir būtisks ieguldījums atbildīgas kreditēšanas principu ievērošanā un kopējās finanšu sistēmas stabilitātes stiprināšanā.</w:t>
      </w:r>
    </w:p>
    <w:p w14:paraId="33EC264F" w14:textId="711629AD" w:rsidR="00756829" w:rsidRDefault="00756829" w:rsidP="00756829">
      <w:pPr>
        <w:jc w:val="both"/>
      </w:pPr>
      <w:r>
        <w:t xml:space="preserve">[6] Vienota un pārbaudāma informācija </w:t>
      </w:r>
      <w:proofErr w:type="spellStart"/>
      <w:r>
        <w:t>kredītinformācijas</w:t>
      </w:r>
      <w:proofErr w:type="spellEnd"/>
      <w:r>
        <w:t xml:space="preserve"> birojos samazina interpretācijas riskus un novērš situācijas, kurās katrs </w:t>
      </w:r>
      <w:proofErr w:type="spellStart"/>
      <w:r>
        <w:t>kredītdevējs</w:t>
      </w:r>
      <w:proofErr w:type="spellEnd"/>
      <w:r>
        <w:t xml:space="preserve"> izmanto dažādas aprēķinu metodes. Tādējādi tiek veidota skaidra, caurspīdīga un visiem </w:t>
      </w:r>
      <w:r>
        <w:lastRenderedPageBreak/>
        <w:t>tirgus dalībniekiem vienlīdz saprotama sistēma, vienlaikus nodrošinot augstāku patērētāju interešu aizsardzību.</w:t>
      </w:r>
    </w:p>
    <w:p w14:paraId="13F362D5" w14:textId="73AA2DC5" w:rsidR="00756829" w:rsidRDefault="00756829" w:rsidP="00756829">
      <w:pPr>
        <w:jc w:val="both"/>
      </w:pPr>
      <w:r>
        <w:t>[7] Ņemot vērā iepriekš minēto, aicinām Ekonomikas ministriju atbalstīt un saglabāt noteikumu projekta 2.11. un 2.12. apakšpunktus, kā arī attiecīgo grozījumu 6. punktā, lai nodrošinātu tiesisko skaidrību, vienotu praksi un patiesi efektīvu patērētāju maksātspējas izvērtēšanu.</w:t>
      </w:r>
    </w:p>
    <w:p w14:paraId="6ECCE702" w14:textId="62AADD58" w:rsidR="00756829" w:rsidRPr="00756829" w:rsidRDefault="00756829" w:rsidP="00756829">
      <w:pPr>
        <w:jc w:val="both"/>
      </w:pPr>
    </w:p>
    <w:sectPr w:rsidR="00756829" w:rsidRPr="0075682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64F"/>
    <w:rsid w:val="00040E8B"/>
    <w:rsid w:val="003D5D12"/>
    <w:rsid w:val="004655DA"/>
    <w:rsid w:val="007336CE"/>
    <w:rsid w:val="00756829"/>
    <w:rsid w:val="007F464F"/>
    <w:rsid w:val="00A02FD9"/>
    <w:rsid w:val="00AA4FF7"/>
    <w:rsid w:val="00C02516"/>
    <w:rsid w:val="00CE6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382A4"/>
  <w15:chartTrackingRefBased/>
  <w15:docId w15:val="{9CC26A48-26FC-48D8-910D-5892F9880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6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6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6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64F"/>
    <w:rPr>
      <w:rFonts w:eastAsiaTheme="majorEastAsia" w:cstheme="majorBidi"/>
      <w:color w:val="272727" w:themeColor="text1" w:themeTint="D8"/>
    </w:rPr>
  </w:style>
  <w:style w:type="paragraph" w:styleId="Title">
    <w:name w:val="Title"/>
    <w:basedOn w:val="Normal"/>
    <w:next w:val="Normal"/>
    <w:link w:val="TitleChar"/>
    <w:uiPriority w:val="10"/>
    <w:qFormat/>
    <w:rsid w:val="007F4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6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64F"/>
    <w:pPr>
      <w:spacing w:before="160"/>
      <w:jc w:val="center"/>
    </w:pPr>
    <w:rPr>
      <w:i/>
      <w:iCs/>
      <w:color w:val="404040" w:themeColor="text1" w:themeTint="BF"/>
    </w:rPr>
  </w:style>
  <w:style w:type="character" w:customStyle="1" w:styleId="QuoteChar">
    <w:name w:val="Quote Char"/>
    <w:basedOn w:val="DefaultParagraphFont"/>
    <w:link w:val="Quote"/>
    <w:uiPriority w:val="29"/>
    <w:rsid w:val="007F464F"/>
    <w:rPr>
      <w:i/>
      <w:iCs/>
      <w:color w:val="404040" w:themeColor="text1" w:themeTint="BF"/>
    </w:rPr>
  </w:style>
  <w:style w:type="paragraph" w:styleId="ListParagraph">
    <w:name w:val="List Paragraph"/>
    <w:basedOn w:val="Normal"/>
    <w:uiPriority w:val="34"/>
    <w:qFormat/>
    <w:rsid w:val="007F464F"/>
    <w:pPr>
      <w:ind w:left="720"/>
      <w:contextualSpacing/>
    </w:pPr>
  </w:style>
  <w:style w:type="character" w:styleId="IntenseEmphasis">
    <w:name w:val="Intense Emphasis"/>
    <w:basedOn w:val="DefaultParagraphFont"/>
    <w:uiPriority w:val="21"/>
    <w:qFormat/>
    <w:rsid w:val="007F464F"/>
    <w:rPr>
      <w:i/>
      <w:iCs/>
      <w:color w:val="0F4761" w:themeColor="accent1" w:themeShade="BF"/>
    </w:rPr>
  </w:style>
  <w:style w:type="paragraph" w:styleId="IntenseQuote">
    <w:name w:val="Intense Quote"/>
    <w:basedOn w:val="Normal"/>
    <w:next w:val="Normal"/>
    <w:link w:val="IntenseQuoteChar"/>
    <w:uiPriority w:val="30"/>
    <w:qFormat/>
    <w:rsid w:val="007F4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64F"/>
    <w:rPr>
      <w:i/>
      <w:iCs/>
      <w:color w:val="0F4761" w:themeColor="accent1" w:themeShade="BF"/>
    </w:rPr>
  </w:style>
  <w:style w:type="character" w:styleId="IntenseReference">
    <w:name w:val="Intense Reference"/>
    <w:basedOn w:val="DefaultParagraphFont"/>
    <w:uiPriority w:val="32"/>
    <w:qFormat/>
    <w:rsid w:val="007F46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1963</Words>
  <Characters>1120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Skržinskis</dc:creator>
  <cp:keywords/>
  <dc:description/>
  <cp:lastModifiedBy>Baiba Januma</cp:lastModifiedBy>
  <cp:revision>3</cp:revision>
  <dcterms:created xsi:type="dcterms:W3CDTF">2025-07-16T07:28:00Z</dcterms:created>
  <dcterms:modified xsi:type="dcterms:W3CDTF">2025-07-16T07:28:00Z</dcterms:modified>
</cp:coreProperties>
</file>