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25-TA-908: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2.1.1. specifiskā atbalsta mērķa "Energoefektivitātes veicināšana un siltumnīcefekta gāzu emisiju samazināšana"  2.1.1.6. pasākuma "Pašvaldību ēku energoefektivitātes paaugstināšana" trešās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 tās ir tieši saistītas ar projekta ietvaros veiktajām darbībām, ir samērīgas, pamatotas un atbilst normatīvo aktu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pārskatīt projekta 29.1. apakšpunktu. Vēršam uzmanību, ka atbilstoši juridiskās tehnikas prasībām tiesību normai ir jābūt skaidrai un nepārprotamai, lai tās lietotājs un piemērotājs precīzi izprastu savus pienākumus un tiesības. Šobrīd ietverta vispārīga atsauce uz “normatīvajiem aktiem” neatbilst precizitātes prasībām, jo nav norādīts ne konkrētais normatīvais akts, ne tiesību joma.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izziņā norādīts uz šīs projekta vienības precizēšanu, bet izmaiņas tajā nav konstatējamas.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pārskatīt anotācijas 5.4. apakšsadaļu kontekstā ar anotācijā un izziņā skaidroto un no projekta izrietošo, nodrošinot pilnīgus projekta atbilstības Eiropas Savienības tiesību aktiem skaidrojumus vai nodrošināt skaidrojumus par to kā, ar kādiem citiem tiesību aktiem tiek nodrošināta pilnīga saistīto direktīvu, lēmumu pārņemšana. Piemēram,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norādīts uz pilnīgu </w:t>
            </w:r>
            <w:r w:rsidR="00000000" w:rsidRPr="00000000" w:rsidDel="00000000">
              <w:rPr>
                <w:i w:val="1"/>
                <w:rtl w:val="0"/>
              </w:rPr>
              <w:t xml:space="preserve">Komisijas 2025. gada 16. decembra lēmuma (ES) 2025/2630 par Līguma par Eiropas Savienības darbību 106. panta 2. punkta piemērošanu valsts atbalstam attiecībā uz kompensāciju par sabiedriskajiem pakalpojumiem dažiem uzņēmumiem, kuriem uzticēts sniegt pakalpojumus ar vispārēju tautsaimniecisku nozīmi, un ar ko atceļ Lēmumu 2012/21/ES</w:t>
            </w:r>
            <w:r w:rsidR="00000000" w:rsidRPr="00000000" w:rsidDel="00000000">
              <w:rPr>
                <w:rtl w:val="0"/>
              </w:rPr>
              <w:t xml:space="preserve">, pārņemšanu vienā projekta vienībā (17.punkts), kas nav precīzi, jo, piemēram, anotācijas 1.3. apakšsadaļā norādīts uz vairākām konkrētām lēmuma vienībām, t.sk., 4. pantu, kas pirmsšķietami saistīti ar projekta 18.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ar projektu tiek nodrošināta </w:t>
            </w:r>
            <w:r w:rsidR="00000000" w:rsidRPr="00000000" w:rsidDel="00000000">
              <w:rPr>
                <w:i w:val="1"/>
                <w:rtl w:val="0"/>
              </w:rPr>
              <w:t xml:space="preserve">Eiropas Parlamenta un Padomes 2024. gada 24. aprīļa Direktīvas (ES) 2024/1275 par ēku energosniegumu</w:t>
            </w:r>
            <w:r w:rsidR="00000000" w:rsidRPr="00000000" w:rsidDel="00000000">
              <w:rPr>
                <w:rtl w:val="0"/>
              </w:rPr>
              <w:t xml:space="preserve"> 10. panta prasību izpilde, kā tas izriet no skaidrojumiem anotācijas 1.3. apakšsadaļā, tas atspoguļojams anotācijas 5. sadaļā vai precizējami skaidrojumi anotācijas 1.3.apakšsadaļā.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25-TA-908</w:t>
    </w:r>
    <w:r>
      <w:br/>
    </w:r>
    <w:r w:rsidR="00000000" w:rsidRPr="00000000" w:rsidDel="00000000">
      <w:rPr>
        <w:rtl w:val="0"/>
      </w:rPr>
      <w:t xml:space="preserve">Izdrukāts 27.04.2026. 17.20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25-TA-908</w:t>
    </w:r>
    <w:r>
      <w:br/>
    </w:r>
    <w:r w:rsidR="00000000" w:rsidRPr="00000000" w:rsidDel="00000000">
      <w:rPr>
        <w:rtl w:val="0"/>
      </w:rPr>
      <w:t xml:space="preserve">Izdrukāts 27.04.2026. 17.20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Atzinumi_25-TA-908.docx</dc:title>
</cp:coreProperties>
</file>

<file path=docProps/custom.xml><?xml version="1.0" encoding="utf-8"?>
<Properties xmlns="http://schemas.openxmlformats.org/officeDocument/2006/custom-properties" xmlns:vt="http://schemas.openxmlformats.org/officeDocument/2006/docPropsVTypes"/>
</file>