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2.1.3. specifiskā atbalsta mērķa “Veicināt pielāgošanos klimata pārmaiņām, risku novēršanu un noturību pret katastrofām” 2.1.3.3. pasākuma “Katastrofu risku mazināšanas pasākumi”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ar projekta darbībām tieši saistīto publicitātes un vizuālās identitātes pasākumu izmaksas, kas veiktas atbilstoši Eiropas Parlamenta un Padomes Regulai (ES) 2021/241 (2021. gada 12. februāris), ar ko izveido Atveseļošanas un noturības mehānismu 34. panta 2. punkta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15.3.3.apakšpunktā iekļauto atsauci uz Eiropas Parlamenta un Padomes 2021.gada 12.februāra Regulu (ES) 2021/241, ar ko izveido Atveseļošanas un noturības mehānismu, ņemot vērā, ka atbilstoši ES fondu 2021.-2027.gada plānošanas perioda un Atveseļošanas fonda komunikācijas un dizaina vadlīnijās noteiktajam, ES fondu 2021.-2027.gada plānošanas perioda komunikācijas pasākumi tiek īstenoti atbilstoši Eiropas Parlamenta un Padomes 2021. gada 24. jūnija Regulā (ES) 2021/1060 (Kopīgo noteikumu regula) noteiktajām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ar projekta darbībām tieši saistīto publicitātes un vizuālās identitātes pasākumu izmaksas, kas veiktas atbilstoši Eiropas Parlamenta un Padomes 2021. gada 24. jūnija Regulai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prasībām</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Braņicka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30.03.2023.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30.03.2023.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Atzinumi_23-TA-263.docx</dc:title>
</cp:coreProperties>
</file>

<file path=docProps/custom.xml><?xml version="1.0" encoding="utf-8"?>
<Properties xmlns="http://schemas.openxmlformats.org/officeDocument/2006/custom-properties" xmlns:vt="http://schemas.openxmlformats.org/officeDocument/2006/docPropsVTypes"/>
</file>