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24-TA-1496: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Vēstules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Zemkopības ministrijai sadarbībā ar Konkurences padomi un Ekonomikas ministriju sagatavot priekšlikumus (koncepciju) moderna digitāla pārtikas preču cenu salīdzināšanas rīka ieviešanai, tostarp apzinot arī citu valstu labo praksi un izvērtējot iespēju veikt regulāru pārtikas preču cenu izmaiņu monitoringu un analīzi (ietverot ietekmes uz valsts budžetu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2024. gada 21. maija Saeimas Tautsaimniecības, agrārās, vides un reģionālās politikas komisijas vēstules, 4.punktā pausto par pārtikas cenu/iepirkuma grozu salīdzināšanas rīka ieviešanu,  precizēt MK protokollēmuma 6.punktu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6.Zemkopības ministrijai sadarbībā ar Konkurences padomi un Ekonomikas ministriju sagatavot priekšlikumus (koncepciju) moderna digitāla pārtikas preču iepirkuma groza mazumtirdzniecības cenu salīdzināšanas rīka ieviešanai, tostarp apzinot arī citu valstu labo praksi un izvērtējot iespēju veikt regulāru pārtikas preču cenu izmaiņu monitoringu un analīzi (ietverot ietekmes uz valsts budžetu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Atzinumi_24-TA-1496.docx</dc:title>
</cp:coreProperties>
</file>

<file path=docProps/custom.xml><?xml version="1.0" encoding="utf-8"?>
<Properties xmlns="http://schemas.openxmlformats.org/officeDocument/2006/custom-properties" xmlns:vt="http://schemas.openxmlformats.org/officeDocument/2006/docPropsVTypes"/>
</file>