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23-TA-1409: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Akcīzes preču pārvietošanas un kontroles sistēmas, Datu noliktavas sistēmas, Eiropas Savienības datu sagatavošanas sistēmas, Maksājumu administrēšanas informācijas sistēmas un Valsts ieņēmumu dienesta publiskojamo datu bāzes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Akcīzes preču pārvietošanas un kontroles sistēmas, Datu noliktavas sistēmas, Eiropas Savienības datu sagatavošanas sistēmas, Maksājumu administrēšanas informācijas sistēmas un Valsts ieņēmumu dienesta publiskojamo datu bāzes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lai gan noteikumu projekta anotācijā norādīts, ka noteikumu projektā tostarp tiek noteikti </w:t>
            </w:r>
            <w:r w:rsidR="00000000" w:rsidRPr="00000000" w:rsidDel="00000000">
              <w:rPr>
                <w:u w:val="single"/>
                <w:rtl w:val="0"/>
              </w:rPr>
              <w:t xml:space="preserve">EMCS, DNS, ES DSS, MAIS un PDB auditācijas pierakstu glabāšanas termiņš</w:t>
            </w:r>
            <w:r w:rsidR="00000000" w:rsidRPr="00000000" w:rsidDel="00000000">
              <w:rPr>
                <w:rtl w:val="0"/>
              </w:rPr>
              <w:t xml:space="preserve">, tomēr norādām, ka faktiski attiecīgs regulējums noteikumu projektā nav ietverts, tādēļ lūdzam atbilstoši papildināt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DNS nodrošina piekļuvi tajā uzkrātajiem datiem, ārējiem lietotājiem, normatīvajos aktos noteiktajos gadījumos un apjomā, saskaņā ar sadarbības līgumā vai starpresoru vienošanās noteikto kārtību un citiem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projektā skaidrot, kas ir domāts ar citiem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Katru informācijas apstrādi šajos noteikumos minētajās informācijas sistēmās auditē. Auditācijas pieraksti ir ierobežotas pieejamības informācija.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42. punkta otro teikumu, ņemot vērā, ka atbilstoši Informācijas atklātības likuma 5. pantam par ierobežotas pieejamības informāciju uzskatāma informācija, kurai šāds statuss noteikts ar likumu. Attiecīgi ar Ministru kabineta noteikumiem minēto statusu nav pieļaujams noteikt.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Šo noteikumu 8., 18., 24., 33., 35. 40. un 46. punkts stājas spēka 2029. gada 1.janvārī.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projekta 8. punktu ieviests Eiropas Savienības regulā noteiktais, lūdzam precizēt noteikumu projekta 47. punktu, svītrojot atsauci uz 8. punktu, vai sniegt pamatojumu noteikumu projekta anotācijā, kādēļ attiecīgās regulas prasības pieļaujams ieviest līdz 2029. gada 1. janvārim.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23-TA-1409</w:t>
    </w:r>
    <w:r>
      <w:br/>
    </w:r>
    <w:r w:rsidR="00000000" w:rsidRPr="00000000" w:rsidDel="00000000">
      <w:rPr>
        <w:rtl w:val="0"/>
      </w:rPr>
      <w:t xml:space="preserve">Izdrukāts 13.06.2025. 08.30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23-TA-1409</w:t>
    </w:r>
    <w:r>
      <w:br/>
    </w:r>
    <w:r w:rsidR="00000000" w:rsidRPr="00000000" w:rsidDel="00000000">
      <w:rPr>
        <w:rtl w:val="0"/>
      </w:rPr>
      <w:t xml:space="preserve">Izdrukāts 13.06.2025. 08.30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Atzinumi_23-TA-1409.docx</dc:title>
</cp:coreProperties>
</file>

<file path=docProps/custom.xml><?xml version="1.0" encoding="utf-8"?>
<Properties xmlns="http://schemas.openxmlformats.org/officeDocument/2006/custom-properties" xmlns:vt="http://schemas.openxmlformats.org/officeDocument/2006/docPropsVTypes"/>
</file>