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821 "Noteikumi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Pirms iesnieguma iesniegšanas iesniedzējs saņem Valsts vides dienesta tehniskos noteikumus vai akcepta lēmumu pēc ietekmes uz vidi novērtējuma veikšanas, ja tas nepieciešams saskaņā ar likumu </w:t>
            </w:r>
            <w:r w:rsidR="00000000" w:rsidRPr="00000000" w:rsidDel="00000000">
              <w:rPr>
                <w:rtl w:val="0"/>
              </w:rPr>
              <w:t xml:space="preserve">"Par ietekmes uz vidi novērtējumu"</w:t>
            </w:r>
            <w:r w:rsidR="00000000" w:rsidRPr="00000000" w:rsidDel="00000000">
              <w:rPr>
                <w:rtl w:val="0"/>
              </w:rPr>
              <w:t xml:space="preserve">, iesniegumā informējot atbildīgo iestādi par šo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normu ar trešo dokumenta veidu - ietekmes uz vidi sākotnēja izvērtējuma lēmums, ko veic saskaņā ar Enerģētiskās drošības un neatkarības veicināšanai nepieciešamās atvieglotās energoapgādes būvju būvniecības kārtības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Pirms iesnieguma iesniegšanas iesniedzējs saņem Valsts vides dienesta tehniskos noteikumus,  akcepta lēmumu pēc ietekmes uz vidi novērtējuma veikšanas, ja tas nepieciešams saskaņā ar likumu "Par ietekmes uz vidi novērtējumu",  vai  ietekmes uz vidi sākotnēja izvērtējuma akcepta lēmumu, ko veic saskaņā ar Enerģētiskās drošības un neatkarības veicināšanai nepieciešamās atvieglotās energoapgādes būvju būvniecības kārtības likumu, iesniegumā informējot atbildīgo iestādi par šo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ieviestu vairākus elektroenerģijas ražošanas iekārtas veidus vai elektroenerģijas ražošanas iekārtu un uzkrātuvi, iesniedzējam ir jāsaņem atļauja vairākiem elektroenerģijas ražošanas iekārtas veidiem vai elektroenerģijas ražošanas iekārtai un uzkrātuvei (turpmāk ‒ hibrīdatļauja). Hibrīdatļaujas turētājam ir pienākums ievērot hibrīdatļaujā noteikto elektroenerģijas ražošanas iekārtas veidu jaudas proporciju, ievērojot, ka atkāpe no tās var būt ne vairāk par 5%. Nosacījums par jaudas proporciju nav attiecināms uz uzkrātuvi.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jaudas proporcijas atkāpe attiecās uz ikvienu hibrīdatļaujas turētāju, vai tikai uz tādu kurš šādu atļauju saņems pēc grozījumu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11.09.2025.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11.09.2025.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Atzinumi_25-TA-1550.docx</dc:title>
</cp:coreProperties>
</file>

<file path=docProps/custom.xml><?xml version="1.0" encoding="utf-8"?>
<Properties xmlns="http://schemas.openxmlformats.org/officeDocument/2006/custom-properties" xmlns:vt="http://schemas.openxmlformats.org/officeDocument/2006/docPropsVTypes"/>
</file>