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Sistēmās iekļaujamās informācijas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22.1.20. un 23.1.25.apakšpunkts paredz attiecīgajā sistēmā iekļaut informāciju par fiziskas personas kontu, vienlaikus noteikumu projekta citās normās ir lietots  - bankas konts, paziņotais konts u.c.. Ņemot vērā minēto un lai nodrošinātu vienveidīgu izpratni, lūdzam visā noteikumu projektā lietot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dzimumu;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17.1.9. apakšpunkts paredz, ka Datu noliktavas sistēmā apstrādā informāciju par fiziskas personas dzimumu.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anotācijas nav saprotams, kādu nolūku sasniegšanai Datu noliktavas sistēmā ir nepieciešams atstrādāt šādus datus. Līdz ar to, lūdzam svītrot šo normu vai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izvērtēt un anotācijā skaidrot arī noteikumu projekta 22.1.7., 23.1.10. un 25.1.4.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Papildus Padomes Regulā (ES) Nr. 904/2010 noteiktajai informācijai Eiropas Savienības datu sagatavošanas sistēmā informācijas apmaiņai ar citām Eiropas Savienības dalībvalstīm iekļauj šādu informāciju par nodokļu maksātāju: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skaidrības nodrošināšanai, lūdzu noteikt, ka minētā apstrāde tiek veikta Eiropas Savienības nodokļu datu apmaiņas informācijas sistēmas datu apstrādes modulī Eiropas Savienības datu sagatavošanas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31., 32., 33.,34., 35. un 36. punktā ir norādītas neatbilstošas iekšējās atsauces. Līdz ar to, aicinām precizēt minētās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Valsts ieņēmumu dienests publisko Valsts ieņēmumu dienesta publiskojamo datu bāzes uzturētajos valsts nozīmes reģistros iekļauto informāciju 36 mēnešus no tās iekļaušanas brīža, ja normatīvajos aktos nav noteikts cits informācijas publiskošanas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 punkts paredz noteikt termiņu VID publiskojamo datu bāzes datu publiskošanai, vienlaikus arī noteikuma projekta 68. punktā ir ietverts līdzīga satura regulējums. Ņemot vērā minēto, lūdzam svītrot noteikumu projekta 59.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Valsts ieņēmumu dienesta publiskojamo datu bāzes publiskās informācijas glabāšanas un pieejamības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68. punktu, jo tā apakšpunkti satur identiska satura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apakšpunkta 3. punktā ir sniegta informācija par noteikumu projekta 2., 3. un 5. punktā paredzēto personas datu apstrādes nolūku un apjomu. Vēršam uzmanību, ka noteikumu projekta 2. punktā ir ietverts VID pārzinā esošo informācijas sistēmu uzskaitījums un šī norma neregulē norādītos jautājumus, savukārt 5. punkts nosaka tikai Centrālajā muitas informācijas sistēmā iekļaujamo informāciju un dokumentus. Proti, nav sniegts skaidrojums (vai vismaz iekšējās atsauces) par visās VID informācijas sistēmās iekļauto personas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pārskatīt un precizēt anotācijas 8.1.13. apakšpunkta 3. punktā ietverto informāciju attiecībā uz apstrādes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16.06.2026.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16.06.2026.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