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ZIZIMM mērķa scenārija projektā iekļautajiem pasākumiem ir kārklu plantācijas notekūdeņu dūņu izmantošanai. Savukārt, Notekūdeņu dūņu apsaimniekošanas plānā 2024.–2027. gadam, kas ir nodots oficiālajā saskaņošanā, un ko KEM un EM ir saskaņojušas bez iebildumiem un priekšlikumiem, notekūdeņu dūņu izmantošana kārklu plantāciju izveidošanai un ielabošanai nav paredzēta. Lūdzam saskaņot abos dokumentos paredzētās darbības notekūdeņu dūņu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vienoties par kūdras nozares nozīmi un vietu valsts ekonomikā.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02.04.2024.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02.04.2024.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