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12. marta noteikumos Nr. 173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13. jūlija sēdes protokollēmumam (prot. Nr. 36 85. § 3. punkts) projektiem, kuru atlase paredzēta ierobežotas projektu iesniegumu atlases veidā un projekta kopējās izmaksas (ieskaitot PVN) pārsniedz 1 miljonu euro, jāveic izmaksu un ieguvumu analīze. Atbildīgā iestāde minēto risinājumu var nepiemērot, ja to objektīvi un izvērsti pamato Ministru kabineta noteikumu par specifisko atbalsta mērķa īstenošanu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to vērā, lūdzam paredzēt, ka attiecīgajiem piektās atlases kārtas projektiem nepieciešams veikt izmaksu un ieguvumu analīzi, vai arī anotācijā pamatot, ka izmaksu un ieguvumu analīzi nav nepieciešams veikt.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Ritvars Timermanis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pirmajai un piektajai kārtai plānotais un pieejamais kopējais attiecināmais finansējums ir 46 769 934 </w:t>
            </w:r>
            <w:r w:rsidR="00000000" w:rsidRPr="00000000" w:rsidDel="00000000">
              <w:rPr>
                <w:i w:val="1"/>
                <w:rtl w:val="0"/>
              </w:rPr>
              <w:t xml:space="preserve">euro</w:t>
            </w:r>
            <w:r w:rsidR="00000000" w:rsidRPr="00000000" w:rsidDel="00000000">
              <w:rPr>
                <w:rtl w:val="0"/>
              </w:rPr>
              <w:t xml:space="preserve">, tai skaitā Eiropas Sociālā fonda Plus finansējums – 39 754 443 </w:t>
            </w:r>
            <w:r w:rsidR="00000000" w:rsidRPr="00000000" w:rsidDel="00000000">
              <w:rPr>
                <w:i w:val="1"/>
                <w:rtl w:val="0"/>
              </w:rPr>
              <w:t xml:space="preserve">euro</w:t>
            </w:r>
            <w:r w:rsidR="00000000" w:rsidRPr="00000000" w:rsidDel="00000000">
              <w:rPr>
                <w:rtl w:val="0"/>
              </w:rPr>
              <w:t xml:space="preserve"> un pašvaldības budžeta finansējums – 7 015 491 </w:t>
            </w:r>
            <w:r w:rsidR="00000000" w:rsidRPr="00000000" w:rsidDel="00000000">
              <w:rPr>
                <w:i w:val="1"/>
                <w:rtl w:val="0"/>
              </w:rPr>
              <w:t xml:space="preserve">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4.3.5.1. pasākuma finansējuma un rādītāju sadalījumu pa visām kārtām, lai nodrošinātu informācijas izsekojamību un aktualitāti, balstoties uz pieteiktiem grozījumiem Eiropas Savienības kohēzijas politikas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provizorisko finansējuma (t.sk. dalījumā pa intervenču kodiem) sadalījumu starp 4.3.5.1. pasākuma 1. un 5. kārtu, lai nodrošinātu šīs informācijas ievadi Kohēzijas politikas fondu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ierosināto grozījumu ietekmi uz projektu iesniegumiem, kas atrodas vērtēšanas procesā un īstenošanā esošiem projektiem, t.i. vai būs nepieciešami grozījumi noslēgtajos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ierosinātajiem grozījumiem nav ietekmes uz līgumu/projektu, šai informācijai arī ir jābūt iekļautai anotācijā, lai nodrošinātu liecības, ka grozījumu ietekmes izvērtējums ir veikts.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4.3.5.1.pasākuma pirmās un piektās kārtas īstenošanai plānoto kopējo finansējuma apmēru, jo, sasummējot finansējumu pa gadiem, veidojas 46 769 933 </w:t>
            </w:r>
            <w:r w:rsidR="00000000" w:rsidRPr="00000000" w:rsidDel="00000000">
              <w:rPr>
                <w:i w:val="1"/>
                <w:rtl w:val="0"/>
              </w:rPr>
              <w:t xml:space="preserve">euro</w:t>
            </w:r>
            <w:r w:rsidR="00000000" w:rsidRPr="00000000" w:rsidDel="00000000">
              <w:rPr>
                <w:rtl w:val="0"/>
              </w:rPr>
              <w:t xml:space="preserve">, nevis 46 769 934 </w:t>
            </w:r>
            <w:r w:rsidR="00000000" w:rsidRPr="00000000" w:rsidDel="00000000">
              <w:rPr>
                <w:i w:val="1"/>
                <w:rtl w:val="0"/>
              </w:rPr>
              <w:t xml:space="preserve">euro</w:t>
            </w:r>
            <w:r w:rsidR="00000000" w:rsidRPr="00000000" w:rsidDel="00000000">
              <w:rPr>
                <w:rtl w:val="0"/>
              </w:rPr>
              <w:t xml:space="preserve">, vienlaikus lūdzam precizēt pašvaldību budžeta kopējo finansējuma apmēru, jo, sasummējot finansējumu pa gadiem, veidojas 7 015 490 </w:t>
            </w:r>
            <w:r w:rsidR="00000000" w:rsidRPr="00000000" w:rsidDel="00000000">
              <w:rPr>
                <w:i w:val="1"/>
                <w:rtl w:val="0"/>
              </w:rPr>
              <w:t xml:space="preserve">euro</w:t>
            </w:r>
            <w:r w:rsidR="00000000" w:rsidRPr="00000000" w:rsidDel="00000000">
              <w:rPr>
                <w:rtl w:val="0"/>
              </w:rPr>
              <w:t xml:space="preserve">, nevis 7 015 491 </w:t>
            </w:r>
            <w:r w:rsidR="00000000" w:rsidRPr="00000000" w:rsidDel="00000000">
              <w:rPr>
                <w:i w:val="1"/>
                <w:rtl w:val="0"/>
              </w:rPr>
              <w:t xml:space="preserve">euro </w:t>
            </w:r>
            <w:r w:rsidR="00000000" w:rsidRPr="00000000" w:rsidDel="00000000">
              <w:rPr>
                <w:rtl w:val="0"/>
              </w:rPr>
              <w:t xml:space="preserve">atbilstoši noteikumu projekta 13.punktam. Attiecīgi, ja nepieciešams, lūdzam precizēt anotācijas 3.sadaļas tabulā norādīto 4.3.5.1.pasākuma pirmās un piektās kārtas īstenošanai plānoto finansējuma apmēru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 ESF Plus finansējuma apmēru 2027.gadam, jo, veicot aprēķinu (11 692 483 </w:t>
            </w:r>
            <w:r w:rsidR="00000000" w:rsidRPr="00000000" w:rsidDel="00000000">
              <w:rPr>
                <w:i w:val="1"/>
                <w:rtl w:val="0"/>
              </w:rPr>
              <w:t xml:space="preserve">euro </w:t>
            </w:r>
            <w:r w:rsidR="00000000" w:rsidRPr="00000000" w:rsidDel="00000000">
              <w:rPr>
                <w:rtl w:val="0"/>
              </w:rPr>
              <w:t xml:space="preserve">x 0,85), matemātiski veidojas 9 938 610 </w:t>
            </w:r>
            <w:r w:rsidR="00000000" w:rsidRPr="00000000" w:rsidDel="00000000">
              <w:rPr>
                <w:i w:val="1"/>
                <w:rtl w:val="0"/>
              </w:rPr>
              <w:t xml:space="preserve">euro</w:t>
            </w:r>
            <w:r w:rsidR="00000000" w:rsidRPr="00000000" w:rsidDel="00000000">
              <w:rPr>
                <w:rtl w:val="0"/>
              </w:rPr>
              <w:t xml:space="preserve">, nevis 9 938 510 </w:t>
            </w:r>
            <w:r w:rsidR="00000000" w:rsidRPr="00000000" w:rsidDel="00000000">
              <w:rPr>
                <w:i w:val="1"/>
                <w:rtl w:val="0"/>
              </w:rPr>
              <w:t xml:space="preserve">euro</w:t>
            </w:r>
            <w:r w:rsidR="00000000" w:rsidRPr="00000000" w:rsidDel="00000000">
              <w:rPr>
                <w:rtl w:val="0"/>
              </w:rPr>
              <w:t xml:space="preserve">, attiecīgi ir precizējama anotācijas 3.sadaļas 1.punkta un 1.1.un 2.1.apakšpunkta 8.ailē norādītais ESF Plus finansējuma apmērs. Vienlaikus lūdzam precizēt anotācijas 3.sadaļas 2.punkta 8.ailē 2027.gadam norādīto plānoto </w:t>
            </w:r>
            <w:r w:rsidR="00000000" w:rsidRPr="00000000" w:rsidDel="00000000">
              <w:rPr>
                <w:u w:val="single"/>
                <w:rtl w:val="0"/>
              </w:rPr>
              <w:t xml:space="preserve">kopējo </w:t>
            </w:r>
            <w:r w:rsidR="00000000" w:rsidRPr="00000000" w:rsidDel="00000000">
              <w:rPr>
                <w:rtl w:val="0"/>
              </w:rPr>
              <w:t xml:space="preserve">finansējuma apmēru atbilstoši anotācijas 3.sadaļas 6.punktā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12. marta noteikumu Nr. 173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pirmās kārtas īstenošanas noteikumi"" (turpmāk – MK noteikumi) 11.punktā norādīts, ka ESF Plus finansējuma apmērs nepārsniedz 85 procentus, līdz ar to ir precizējama anotācijas 3.sadaļas 6.punktā otrā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Pasākuma pirmās un piektās kārtas ietvaros kopumā ir atbalstāma maksimāli 10 šo noteikumu </w:t>
            </w:r>
            <w:r w:rsidR="00000000" w:rsidRPr="00000000" w:rsidDel="00000000">
              <w:rPr>
                <w:rtl w:val="0"/>
              </w:rPr>
              <w:t xml:space="preserve">38.</w:t>
            </w:r>
            <w:r w:rsidR="00000000" w:rsidRPr="00000000" w:rsidDel="00000000">
              <w:rPr>
                <w:rtl w:val="0"/>
              </w:rPr>
              <w:t xml:space="preserve"> punktā</w:t>
            </w:r>
            <w:r w:rsidR="00000000" w:rsidRPr="00000000" w:rsidDel="00000000">
              <w:rPr>
                <w:rtl w:val="0"/>
              </w:rPr>
              <w:t xml:space="preserve"> minēto specializēto transportlīdzekļu iegāde un aprīkošana visā Latvijas teritorijā,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tiesību normas nepārprotamu interpretāciju, lūdzam izvērtēt un nepieciešamības gadījumā precizēt MK noteikumu 37. punkta ievaddaļas tekstu, nodrošinot, ka ir nepārprotami skaidrs, vai nosacījums par kopumā 10 specializēto transportlīdzekļu iegādi attiecas uz pirmo un piekto kārtu kopā vai uz katru no kārtām atsevišķi. Norādām, ka atbilstoši juridiskās tehnikas prasībām tiesību normai ir jābūt skaidrai, lai tās lietotājs un piemērotājs gūtu nepārprotamu priekšstatu par normā ietvertajiem pienākumiem un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ja pasākuma pirmās kārtas ietvaros ir iesniegti vairāk nekā 10 projektu iesniegumi par šo noteikumu </w:t>
            </w:r>
            <w:r w:rsidR="00000000" w:rsidRPr="00000000" w:rsidDel="00000000">
              <w:rPr>
                <w:rtl w:val="0"/>
              </w:rPr>
              <w:t xml:space="preserve">18.1.4.</w:t>
            </w:r>
            <w:r w:rsidR="00000000" w:rsidRPr="00000000" w:rsidDel="00000000">
              <w:rPr>
                <w:rtl w:val="0"/>
              </w:rPr>
              <w:t xml:space="preserve"> apakšpunktā</w:t>
            </w:r>
            <w:r w:rsidR="00000000" w:rsidRPr="00000000" w:rsidDel="00000000">
              <w:rPr>
                <w:rtl w:val="0"/>
              </w:rPr>
              <w:t xml:space="preserve"> minētās atbalstāmās darbības īstenošanu, specializēto transportlīdzekļu iegādi un aprīkošanu atbalsta pašvaldībās ar zemāko iedzīvotāju blīvumu.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aktualizēt MK noteikumu 37.2. apakšpunkta redakciju, ņemot vērā plānoto pasākuma piektās kārtas īstenošanu un pasākuma pirmās kārtas projektu atlases rezultātus.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46.1. novērš dubultfinansēšanas riskus un nodrošina, ka projektā plānotās atbalstāmās darbības netiek finansētas, kā arī tās nav plānots finansēt no citiem valsts, pašvaldības vai ārvalstu finanšu atbalsta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nepieciešamību grozīt MK noteikumu 46.1. apakšpunktu, jo tā mērķis ir noteikt nosacījumus dubultfinansēšanas novēršanai, nevis ierobežot pašvaldības nepieciešamības gadījumā līdzfinansēt pakalpojumu nodrošināšanu no pašvaldības budžeta līdzekļiem, vai precizēt anotāciju papildinot to ar argumentāciju, kādēļ grozījumi MK noteikumu 46.1. apakšpunktā neietekmē dubultfinansējuma novēršanas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46.2.2. parakstījuši apliecinājumus par interešu konflikta neesību saskaņā ar Eiropas Parlamenta un Padomes 2018. gada 18. jūlija Regulas (ES, Euratom) Nr.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 541/2014/ES un atceļ Regulu (ES, Euratom) Nr.  </w:t>
            </w:r>
            <w:r w:rsidR="00000000" w:rsidRPr="00000000" w:rsidDel="00000000">
              <w:rPr>
                <w:rtl w:val="0"/>
              </w:rPr>
              <w:t xml:space="preserve">966/2012</w:t>
            </w:r>
            <w:r w:rsidR="00000000" w:rsidRPr="00000000" w:rsidDel="00000000">
              <w:rPr>
                <w:rtl w:val="0"/>
              </w:rPr>
              <w:t xml:space="preserve">, 61. pantu un publisko iepirkumu regulējošiem normatīviem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2024. gada 30. septembrī stājusies spēkā jaunā “Finanšu regula” – Eiropas Parlamenta un Padomes 2024. gada 23. septembra Regula (ES, Euratom) 2024/2509 par finanšu noteikumiem, ko piemēro Savienības vispārējam budžetam (pārstrādāta redakcija) (turpmāk - Regula 2024/2509), un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Regula 2018/1046).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MK noteikumu 46.2.2. apakšpunktā precizēt regulas atsauci, norādot atsauci uz Regulu 2024/2509. Saskaņā ar Regulas 2024/2509 279. pantu atsauces uz atcelto Regulu 2018/1046 uzskata par atsaucēm uz Regulu 2024/2509, un tās lasa saskaņā ar atbilstības tabulu Regulas 2024/2509 II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46.2.2. parakstījuši apliecinājumus par interešu konflikta neesību saskaņā ar Eiropas Parlamenta un Padomes 2024. gada 23. septembra Regulas (ES, Euratom) 2024/2509 par finanšu noteikumiem, ko piemēro Savienības vispārējam budžetam (pārstrādāta redakcija) 61. pantu un publisko iepirkumu regulējošiem normatīviem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47.5. netiek gūti </w:t>
            </w:r>
            <w:r w:rsidR="00000000" w:rsidRPr="00000000" w:rsidDel="00000000">
              <w:rPr>
                <w:i w:val="1"/>
                <w:rtl w:val="0"/>
              </w:rPr>
              <w:t xml:space="preserve">neto</w:t>
            </w:r>
            <w:r w:rsidR="00000000" w:rsidRPr="00000000" w:rsidDel="00000000">
              <w:rPr>
                <w:rtl w:val="0"/>
              </w:rPr>
              <w:t xml:space="preserve"> ienākumi.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nosacījuma nepieciešamību par to, ka projekta ietvaros netiek gūti neto ienākumi, kā arī to, kā tiks kontrolēta šī nosacījuma izpilde.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Ritvars Timermanis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24-TA-2836</w:t>
    </w:r>
    <w:r>
      <w:br/>
    </w:r>
    <w:r w:rsidR="00000000" w:rsidRPr="00000000" w:rsidDel="00000000">
      <w:rPr>
        <w:rtl w:val="0"/>
      </w:rPr>
      <w:t xml:space="preserve">Izdrukāts 17.12.2024.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24-TA-2836</w:t>
    </w:r>
    <w:r>
      <w:br/>
    </w:r>
    <w:r w:rsidR="00000000" w:rsidRPr="00000000" w:rsidDel="00000000">
      <w:rPr>
        <w:rtl w:val="0"/>
      </w:rPr>
      <w:t xml:space="preserve">Izdrukāts 17.12.2024.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Atzinumi_24-TA-2836.docx</dc:title>
</cp:coreProperties>
</file>

<file path=docProps/custom.xml><?xml version="1.0" encoding="utf-8"?>
<Properties xmlns="http://schemas.openxmlformats.org/officeDocument/2006/custom-properties" xmlns:vt="http://schemas.openxmlformats.org/officeDocument/2006/docPropsVTypes"/>
</file>