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decembra līdz 2026. gada 30. jūnijam.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funkciju centralizācija praksē rada papildu pienākumus pakalpojuma saņēmējai iestādei, kuru izpildei nepieciešams papildu laiks un cilvēkresursi, jo iestādei jāplāno resursi arī jauno procesu, informācijas sistēmu un ar centralizēto pakalpojumu saņemšanu saistīto procedūru apgūšanai.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grāmatvedības funkcija pilnā apmērā tika centralizēta jau no 2021. gada 1. novembra, kā rezultātā tika likvidēta galvenā grāmatveža amata vieta. Tomēr pēc funkcijas centralizācijas daļa ar grāmatvedības procesiem saistīto pienākumu faktiski ir nodota atpakaļ iestādei. Piemēram, DVI ir jānodrošina meta rēķinu apstrāde, inventarizācijas procesa organizēšana, HORIZON lietotāju un Valsts kases piekļuves tiesību administrēšana, kā arī citu ar grāmatvedības procesiem saistītu uzdevumu izpilde. Turklāt visi ar centralizēto grāmatvedības procesu saistītie papildu pienākumi vēl tiek apzināti, un to faktiskais apjoms būs pilnībā novērtējams pēc pilna saimnieciskā gada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ieskatā informatīvais ziņojums ir papildināms ar izvērtējumu par centralizācijas faktisko ietekmi uz pakalpojumu saņēmēju, jo īpaši ja pakalpojuma saņēmējs ir neliela iestāde, tostarp identificējot funkcijas un pienākumus, kas pēc centralizācijas saglabājas iestādē vai tiek tai nodotas no jauna, kā arī šo pienākumu izpildei papildus nepieciešamajiem administratīvajiem resursiem. Vienlaikus, plānojot turpmāku VPC pakalpojumu centralizāciju, nepieciešams paredzēt risinājumu gadījumiem, kad centralizācijas rezultātā pakalpojuma saņēmējai iestādei rodas jauni pienākumi vai būtiski palielinās administratīvais slogs, taču iestādes rīcībā nav šo pienākumu izpildei nepieciešamo cilvēkresursu.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06.10.2026.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06.10.2026.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Atzinumi_26-TA-1786.docx</dc:title>
</cp:coreProperties>
</file>

<file path=docProps/custom.xml><?xml version="1.0" encoding="utf-8"?>
<Properties xmlns="http://schemas.openxmlformats.org/officeDocument/2006/custom-properties" xmlns:vt="http://schemas.openxmlformats.org/officeDocument/2006/docPropsVTypes"/>
</file>