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juristu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Ieguldījumu pārvaldes sabiedrību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“Latvijas Juristu apvienība” ir iepazinusies ar Finanšu ministrijas virzīto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likumprojektu pakotni, kas paredz patērētāju kreditēšanas nozares uzraudzības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funkciju nodošanu Latvijas Bankai, un vēlas paust iebildumus pret piedāvāto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modeļa maiņu.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Pirmkārt, uzsveram, ka piedāvātā reforma nav uzskatāma par tehnisku funkciju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pārdali, bet gan par būtisku institucionālu pārveidi ar plašu ietekmi uz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sektora uzraudzības sistēmu, patērētāju tiesību aizsardzību un uzņēmējdarbības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vidi kopumā. Tomēr likumprojektu anotācijās nav nodrošināts pilnvērtīgs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sākotnējais ietekmes izvērtējums. Nav analizēta reformas ietekme uz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intensitāti, administratīvo slogu, datu pieprasījumu apjomu un tirgus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dalībnieku izmaksām, kā arī nav sniegts pietiekams izvērtējums par Latvijas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Bankas institucionālo kapacitāti pārņemt patērētāju tiesību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funkcijas.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Otrkārt, nav izvērtēti alternatīvi risinājumi. Nav analizēta iespēja pilnveidot esošo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modeli, stiprinot institucionālo sadarbību vai precizējot funkciju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sadalījumu starp iesaistītajām iestādēm. Līdz ar to nav pierādīts, ka izvēlētais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centralizācijas modelis ir samērīgākais un efektīvākais risinājums.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Treškārt, pastāv būtiski riski attiecībā uz regulējuma piemērošanas skaidrību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prognozējamību. Nav pietiekami definēti turpmākās uzraudzības pieejas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pamatprincipi, sankciju piemērošanas kritēriji un līdzšinējās interpretācijas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prakses pēctecība. Tas var radīt nevienveidīgu normu piemērošanu un palielināt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administratīvo slogu tirgus dalībniekiem.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Īpaši uzsverams, ka patērētāju tiesību aizsardzības funkcija pēc būtības atšķiras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prudenciālās uzraudzības. Līdzšinējā pieeja balstīta uz patērētāju uzvedības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un faktiskās ietekmes izvērtējumu, savukārt centrālās bankas modelis primāri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orientēts uz finanšu stabilitāti un formālu atbilstību. Šāda pieeju transformācija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 radīt nesamērīgu regulatīvo iejaukšanos un nepietiekamu uzmanību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patērētāju faktiskajām interesēm.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Papildus vēršam uzmanību uz Eiropas Savienības tiesisko regulējumu.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Gadījumos, kad patērētāju tiesību aizsardzības funkcija tiek integrēta finanšu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regulatorā, tas parasti tiek īstenots, izveidojot skaidri nodalītu patērētāju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aizsardzības struktūru ar atsevišķu mandātu. Šāds modelis būtiski atšķiras no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klasiskā centrālās bankas darbības ietvara. Likumprojektu anotācijās šāda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institucionāla transformācija nav pietiekami izvērtēta.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nav pietiekami analizēta piedāvātā modeļa atbilstība Regulai (ES)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2017/2394, īpaši attiecībā uz kompetentās iestādes spēju nodrošināt efektīvu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kolektīvo patērētāju interešu aizsardzību un pilnvērtīgu dalību CPC sadarbības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mehānismos. Formāla funkciju nodošana Latvijas Bankai pati par sevi negarantē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šīs regulas mērķu sasniegšanu, ņemot vērā tās institucionālo mandātu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pieeju. No likumprojektiem nav skaidrs, vai CPC regulā konkrēti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identificētas pilnvaras, kas ir obligātas kompetentajai iestādei (piemēram,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tiesības veikt slēptās pirkumu pārbaudes, pieprasīt datu izpaušanu, piemērot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sankcijas), visas pilnā apjomā tiek piešķirtas Latvijas Bankai.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jāņem vērā arī Direktīvas (ES) 2023/2225 (CCD II) prasības, kas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paredz augstu patērētāju aizsardzības līmeni kreditēšanas jomā un efektīvu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uzraudzības mehānismu nodrošināšanu. Lai nodrošinātu direktīvas mērķu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sasniegšanu, ir būtiski, lai kompetentā iestāde būtu ne tikai formāli noteikta, bet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arī funkcionāli piemērota patērētāju tiesību aizsardzības īstenošanai. Tāpat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jāņem vērā CCD II un uzraudzības reformas laika neatbilstība - direktīva pilnā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apmērā piemērojama no 2026. gada novembra, taču reforma stājas spēkā 2027.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gada janvārī, kas rada iespējamu regulatīvu vakuumu.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Visbeidzot, uzsveram, ka regulējuma prognozējamība ir būtisks priekšnoteikums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stabilai uzņēmējdarbības videi. Nepietiekami pamatota institucionāla reforma var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palielināt regulatīvo nenoteiktību, negatīvi ietekmēt investīciju vidi un ierobežot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konkurenci un inovāciju finanšu sektorā.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aicinām pirms turpmākas likumprojektu pakotnes virzības: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nodrošināt pilnvērtīgu ietekmes izvērtējumu;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veikt alternatīvu risinājumu analīzi;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izvērtēt atbilstību Eiropas Savienības regulējumam, īpaši Regulai (ES)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2017/2394 un Direktīvai (ES) 2023/2225.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Rihards Bunka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07.05.2026. 21.48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07.05.2026. 21.48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