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r w:rsidR="00000000" w:rsidRPr="00000000" w:rsidDel="00000000">
              <w:rPr>
                <w:vertAlign w:val="superscript"/>
                <w:rtl w:val="0"/>
              </w:rPr>
              <w:t xml:space="preserve">1</w:t>
            </w:r>
            <w:r w:rsidR="00000000" w:rsidRPr="00000000" w:rsidDel="00000000">
              <w:rPr>
                <w:rtl w:val="0"/>
              </w:rPr>
              <w:t xml:space="preserve"> Papildus šo noteikumu </w:t>
            </w:r>
            <w:r w:rsidR="00000000" w:rsidRPr="00000000" w:rsidDel="00000000">
              <w:rPr>
                <w:rtl w:val="0"/>
              </w:rPr>
              <w:t xml:space="preserve">118. </w:t>
            </w:r>
            <w:r w:rsidR="00000000" w:rsidRPr="00000000" w:rsidDel="00000000">
              <w:rPr>
                <w:rtl w:val="0"/>
              </w:rPr>
              <w:t xml:space="preserve">punktā</w:t>
            </w:r>
            <w:r w:rsidR="00000000" w:rsidRPr="00000000" w:rsidDel="00000000">
              <w:rPr>
                <w:rtl w:val="0"/>
              </w:rPr>
              <w:t xml:space="preserve">  minētajam gadījumam sistēmas operatoram ir tiesības nekavējoties vienpusēji izbeigt noslēgto sistēmas lietošanas līgumu ar tirgotāju,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atkārtoti iebilst pret 118.</w:t>
            </w:r>
            <w:r w:rsidR="00000000" w:rsidRPr="00000000" w:rsidDel="00000000">
              <w:rPr>
                <w:vertAlign w:val="superscript"/>
                <w:rtl w:val="0"/>
              </w:rPr>
              <w:t xml:space="preserve">1</w:t>
            </w:r>
            <w:r w:rsidR="00000000" w:rsidRPr="00000000" w:rsidDel="00000000">
              <w:rPr>
                <w:rtl w:val="0"/>
              </w:rPr>
              <w:t xml:space="preserve">punkta iekļaušanu Noteikumu projektā. Papildus iepriekš teiktajam Regulators norāda, ka saskaņā ar Ministru kabineta 2023.gada 7.novembra noteikumu Nr.635 “Elektroenerģijas tirdzniecības un lietošanas noteikumi” spēkā esošās redakcijas 79.punktu sistēmas lietošanas līguma spēkā esamība ir elektroenerģijas tirgotāja darbības priekšnoteikums. Tātad situācijā, kad sistēmas operators vienpusēji izbeidz ar tirgotāju noslēgto tirdzniecības līgumu, tirgotājs vairs nevar sniegt sabiedrisko pakalpojumu – elektroenerģijas tirdzniecību. Ar Noteikumu projekta 118.</w:t>
            </w:r>
            <w:r w:rsidR="00000000" w:rsidRPr="00000000" w:rsidDel="00000000">
              <w:rPr>
                <w:vertAlign w:val="superscript"/>
                <w:rtl w:val="0"/>
              </w:rPr>
              <w:t xml:space="preserve">1</w:t>
            </w:r>
            <w:r w:rsidR="00000000" w:rsidRPr="00000000" w:rsidDel="00000000">
              <w:rPr>
                <w:rtl w:val="0"/>
              </w:rPr>
              <w:t xml:space="preserve">punktu tiek ierosināts nodot sistēmas operatora kompetencē izvērtēt tirgotāja spēju sniegt elektroenerģijas tirdzniecības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32.panta pirmās daļas 3.punktu ar elektroenerģijas tirdzniecību var nodarboties elektroenerģijas tirgotājs, kas šajā likumā noteiktajā kārtībā reģistrēts elektroenerģijas tirgotāju reģistrā. Savukārt saskaņā ar Elektroenerģijas tirgus likuma 32.</w:t>
            </w:r>
            <w:r w:rsidR="00000000" w:rsidRPr="00000000" w:rsidDel="00000000">
              <w:rPr>
                <w:vertAlign w:val="superscript"/>
                <w:rtl w:val="0"/>
              </w:rPr>
              <w:t xml:space="preserve">1</w:t>
            </w:r>
            <w:r w:rsidR="00000000" w:rsidRPr="00000000" w:rsidDel="00000000">
              <w:rPr>
                <w:rtl w:val="0"/>
              </w:rPr>
              <w:t xml:space="preserve">pantu Regulatora kompetencē ir noteikt elektroenerģijas tirdzniecības vispārējās atļaujas noteikumus (specifiskas pakalpojuma sniegšanas prasības), uzraudzīt šo noteikumu ievērošanu un, neatbilstības gadījumā, izslēgt tirgotāju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projekta 118.</w:t>
            </w:r>
            <w:r w:rsidR="00000000" w:rsidRPr="00000000" w:rsidDel="00000000">
              <w:rPr>
                <w:vertAlign w:val="superscript"/>
                <w:rtl w:val="0"/>
              </w:rPr>
              <w:t xml:space="preserve">1</w:t>
            </w:r>
            <w:r w:rsidR="00000000" w:rsidRPr="00000000" w:rsidDel="00000000">
              <w:rPr>
                <w:rtl w:val="0"/>
              </w:rPr>
              <w:t xml:space="preserve">punkts ir pretrunā Elektroenerģijas tirgus likuma regulējumam, jo faktiski paredz sistēmas operatora iejaukšanos Regulatora kompetencē. Ja sistēmas operators konstatē apstākļus, kas liedz vai varētu liegt elektroenerģijas tirgotājam sniegt sabiedrisko pakalpojumu, tam ir jāvēršas Regulatorā. Attiecībā uz apstākļiem, kas saistīti ar elektroenerģijas tirgotāja maksātnespējas riskiem, sistēmas operatoram Regulatora 2017.gada 21.decembra lēmuma Nr.1/36 “Informācijas iesniegšanas noteikumi enerģētikas nozarē” 5.7.apakšpunktā ir noteikts pienākums savlaicīgi informēt Regulatoru par to, ka tirgotājs kavē maksājumus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ja lietotājs bez sistēmas operatora atļaujas elektroenerģijas ražošanas iekārtu pieslēgšanai paralēlam darbam ar sistēmu paralēlā darbā ar sistēmu sadales sistēmai pieslēdzis elektroenerģijas ražošanas iekārtas vai neievēro sistēmas operatora noteiktos nosacījumus elektroenerģijas ražošanai.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Noteikumu 75.6.apakšpunktu, ņemot vērā, ka Noteikumu projekta šā brīža redakcijā atšķirīgos locījumos ir divreiz atkārtota frāze  “paralēls darbs ar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ar Noteikumu projektu tiek nevis papildināti Noteikumi ar jaunu punktu, bet gan grozīts spēkā esošo Noteikumu 156.</w:t>
            </w:r>
            <w:r w:rsidR="00000000" w:rsidRPr="00000000" w:rsidDel="00000000">
              <w:rPr>
                <w:vertAlign w:val="superscript"/>
                <w:rtl w:val="0"/>
              </w:rPr>
              <w:t xml:space="preserve">1</w:t>
            </w:r>
            <w:r w:rsidR="00000000" w:rsidRPr="00000000" w:rsidDel="00000000">
              <w:rPr>
                <w:rtl w:val="0"/>
              </w:rPr>
              <w:t xml:space="preserve">punkts. Spēkā esošajos Noteikumos jau ir 156.</w:t>
            </w:r>
            <w:r w:rsidR="00000000" w:rsidRPr="00000000" w:rsidDel="00000000">
              <w:rPr>
                <w:vertAlign w:val="superscript"/>
                <w:rtl w:val="0"/>
              </w:rPr>
              <w:t xml:space="preserve">1</w:t>
            </w:r>
            <w:r w:rsidR="00000000" w:rsidRPr="00000000" w:rsidDel="00000000">
              <w:rPr>
                <w:rtl w:val="0"/>
              </w:rPr>
              <w:t xml:space="preserve">punkts, bet ar Noteikumu projektu to paredzēts redakcionāli grozīt un papildināt ar 6. – 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14.11.2024.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14.11.2024.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