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Vietējai sabiedrībai vēja elektrostaciju radītā diskomforta kompensācijas maksājumu  apmērs, veikšanas kārtība un termiņi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Vēja elektostacijas uzstādītās jaudas izmantošanas koeficientu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 - vēja elektrostacijas uzstādītās jaudas izmantošanas koeficients, procentos;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 - Latvijā licencēta elektroenerģijas pārvades sistēmas operatora vai sadales sistēmas operatora apstiprinātais saražotais elektroenerģijas apjoms (megavatstundās) konkrētā tirdzniecības intervālā;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 - vēja elektrostacijas uzstādītā jauda megavatos.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 punktu, norādot skaidrojumu skaitlim 8760, jo no pašreizējā regulējuma tas nav skaidrs.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Stundas gadā: 24h x 365dienas = 8760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Turks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atbilstoši Elektroenerģijas tirgus likuma 14.07.2022. grozījumiem norādīts, kādiem pasākumiem ieskaitītos līdzekļus no reģionālās attīstības maksājuma vietējā pašvaldība varēs izmantot, tai skaitā, pašvaldības infrastruktūras atbalsta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2.mērķi papildināt ar piemēriem identiski Elektroenerģijas tirgus likuma 14.07.2022. grozījumu anotācijā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pašvaldības infrastruktūras atbalsta projektiem (</w:t>
            </w:r>
            <w:r w:rsidR="00000000" w:rsidRPr="00000000" w:rsidDel="00000000">
              <w:rPr>
                <w:u w:val="single"/>
                <w:rtl w:val="0"/>
              </w:rPr>
              <w:t xml:space="preserve">piemēram, ceļi, ārtelpu apgaismojums, apzaļumošanas un dabas aizsardzības projekti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Elektroenerģijas tirgus likuma 14.07.2022. grozījumiem[1], attiecīgā pašvaldība līdzekļus no reģionālās attīstības maksājuma par vēja elektroenerģijas iekārtas darbību var izmantot  pašvaldības saistošajos noteikumos noteiktā kārtībā,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enerģētiskās nabadzības mazināšanai attiecīgajā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pašvaldības infrastruktūras atbalsta projektiem </w:t>
            </w:r>
            <w:r w:rsidR="00000000" w:rsidRPr="00000000" w:rsidDel="00000000">
              <w:rPr>
                <w:u w:val="single"/>
                <w:rtl w:val="0"/>
              </w:rPr>
              <w:t xml:space="preserve">(piemēram, ceļi, ārtelpu apgaismojums, apzaļumošanas un dabas aizsardzības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Noteikumu projekta 3.punktam, ņemot vērā, ka maksājumu veic vēja elektrostacijas uzstādītājs vai īpašnieks.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Turks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anotāciju attiecībā uz ietekmi uz fiziskām personām ņemot vērā, ka ieskaitītos līdzekļus no reģionālās attīstības maksājuma vietējā pašvaldība varēs izmantot, tai skaitā, pašvaldības infrastruktūras atbalsta projektiem. Kā, piemēram, pašvaldības infrastruktūras atbalsta projektiem (ceļi, ārtelpu apgaismojums, apzaļumošanas un dabas aizsardzības projekti), no kuriem iegūst arī attiecīgās pašvaldībās iedzīvotāji.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Turks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risinājuma apraksta sākumā minēts, ka "vietējā sabiedrība un iedzīvotāji, kas </w:t>
            </w:r>
            <w:r w:rsidR="00000000" w:rsidRPr="00000000" w:rsidDel="00000000">
              <w:rPr>
                <w:b w:val="1"/>
                <w:rtl w:val="0"/>
              </w:rPr>
              <w:t xml:space="preserve">izmitināti</w:t>
            </w:r>
            <w:r w:rsidR="00000000" w:rsidRPr="00000000" w:rsidDel="00000000">
              <w:rPr>
                <w:rtl w:val="0"/>
              </w:rPr>
              <w:t xml:space="preserve"> vēja elektrostaciju projektu iespējamo attīstības teritoriju tuvumā objektīvu vai subjektīvu apsvērumu dēļ ir negatīvi noskaņoti pret vēja elektrostaciju būvniecības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pārformulēt teikumu, jo vārdu izvēle un teikuma konstrukcija ir neveiksmīga, iedzīvotāji netiek izmitināti plānoto VES tuvumā. Iespējams var dzēst vārdus ", kas izmitināti".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21.11.2022.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21.11.2022.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Atzinumi_22-TA-2550.docx</dc:title>
</cp:coreProperties>
</file>

<file path=docProps/custom.xml><?xml version="1.0" encoding="utf-8"?>
<Properties xmlns="http://schemas.openxmlformats.org/officeDocument/2006/custom-properties" xmlns:vt="http://schemas.openxmlformats.org/officeDocument/2006/docPropsVTypes"/>
</file>