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28. decembra noteikumos Nr. 1228 "Noteikumi par lielgabarīta un smagsvara pārvadājumu atļaujas izsniegšanas valsts nodevas apmēru, samaksas kārtību un atbrīvojumiem"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2.1. punktā īsi aprakstīt ietekmi uz norādītajām sabiedrības grupām, kuras tiesiskais regulējums ietekmē, vai varētu ietekmēt. Šobrīd šāds apraksts 2.1. punktā nav veikts, bet norādīta vispārēja informācija, ka noteikumu projekts paredz grozīt valsts nodevas likmi par lielgabarīta un smagsvara pārvadājumu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 punktā īsi izvērtēt un atspoguļot projekta ietekmi uz tautsaimniecības attīstību, norādot cik lielā mērā nodevas maksas paaugstināšana ietekmēs anotācijas 2.1. punktā norādītās sabiedrības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norādīt plānoto papildus budžeta ieņēmumu apjomu un izlietošanas mērķus jeb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Detlavs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21.03.2023.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21.03.2023.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Atzinumi_22-TA-2689.docx</dc:title>
</cp:coreProperties>
</file>

<file path=docProps/custom.xml><?xml version="1.0" encoding="utf-8"?>
<Properties xmlns="http://schemas.openxmlformats.org/officeDocument/2006/custom-properties" xmlns:vt="http://schemas.openxmlformats.org/officeDocument/2006/docPropsVTypes"/>
</file>