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23-TA-999: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Kriminālprocesa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(Informatīvais ziņojums par arestēto kapitālsabiedrības vai kooperatīvās sabiedrības kapitāla daļu (akciju) vai paju pārvaldnieka noteikšanu likumprojekta “Grozījumi Kriminālprocesa likumā” (23-TA-999)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kapitālsabiedrības vai kooperatīvās sabiedrības kapitāla daļu (akciju) vai paju vērtības saglabāšanu,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Ministru kabinets nosaka arestēto kapitālsabiedrības vai kooperatīvās sabiedrības kapitāla daļu (akciju) vai paju pārvaldīšanas kārtību. Procesa virzītājs lēmumu par arestētās mantas pārvaldnieka norīkošanu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Kapitālsabiedrība vai kooperatīvā sabiedrība norīkotajam arestētās mantas pārvaldniekam sniedz visu nepieciešamo informāciju, lai arestētās mantas pārvaldnieks varētu pildīt pārvaldnieka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Arestētās mantas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Arestētās mantas pārvaldnieks informē procesa virzītāju par risku, ka kapitālsabiedrības vai kooperatīvās sabiedrības kapitāla daļas (akcijas) vai pajas varētu zaudēt savu vērtību. Procesa virzītājs, saņemot šādu informāciju,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arestētās mantas pārvaldnieku un, ja viņš nepilda vai negodprātīgi pilda likumā noteiktos pienākumus. Procesa virzītājs lēmumu par arestētās mantas pārvaldnieka atcelšanu nosūta izpildei kapitālsabiedrībai vai kooperatīvai sabiedrībai, pārvaldniekam un informācijai - publiskajam reģistram."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Kriminālprocesa likuma  365.</w:t>
            </w:r>
            <w:r w:rsidR="00000000" w:rsidRPr="00000000" w:rsidDel="00000000">
              <w:rPr>
                <w:vertAlign w:val="superscript"/>
                <w:rtl w:val="0"/>
              </w:rPr>
              <w:t xml:space="preserve">1</w:t>
            </w:r>
            <w:r w:rsidR="00000000" w:rsidRPr="00000000" w:rsidDel="00000000">
              <w:rPr>
                <w:rtl w:val="0"/>
              </w:rPr>
              <w:t xml:space="preserve"> panta otrajā daļā noteikto, praksē, piemērojot minēto normu, varētu izdarīt secinājumu, ka procesa virzītājam ir jāpieņem divi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lēmums, ar kuru kapitālsabiedrības vai kooperatīvās sabiedrības kapitāla daļas (akcijas) vai pajas tiek nodotas pārvaldīšanā Ministru kabineta noteiktajam pārvaldniekam;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lēmums par arestētās mantas pārvaldnieka norīkošanu, kas jānosūta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procesa virzītājam nepieciešams pieņemt tikai vienu lēmumu - ar kuru kapitālsabiedrības vai kooperatīvās sabiedrības kapitāla daļas (akcijas) vai pajas tiek nodotas pārvaldīšanā Ministru kabineta noteiktajam pārvaldniekam. Vienlaikus šo lēmumu pirmstiesas procesā būtu jāapstiprina izmeklēšanas tiesnesim (piemēram, vienlaikus ar aresta uzlikšanu kapitāla daļām (akcijām) tiek apstiprināta arī šo kapitāla daļu (akciju) vai paju nodošanu pārvaldīšanā), līdz ar to lūdzam likumprojektu un tā anotāciju papildināt ar šādu norādi (skatīt Kriminālprocesa likuma 361. panta trešo daļu), nolūkā novērst normas dažādās interpretācijas iespējas praksē.  Pēc tam procesa virzītājam šis lēmums būtu jānosūta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Kerno (ĢP)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noteikumos būtu jānosaka iestāde, kas tiek norīkota par pārvaldnieku līdz brīdim, kad tiek izstrādāti Ministru kabineta noteikumi par arestēto kapitālsabiedrības vai kooperatīvās sabiedrības kapitāla daļu (akciju) vai paju pārvaldīšanas kārtību, ja Kriminālprocesa likuma 365.</w:t>
            </w:r>
            <w:r w:rsidR="00000000" w:rsidRPr="00000000" w:rsidDel="00000000">
              <w:rPr>
                <w:vertAlign w:val="superscript"/>
                <w:rtl w:val="0"/>
              </w:rPr>
              <w:t xml:space="preserve">1 </w:t>
            </w:r>
            <w:r w:rsidR="00000000" w:rsidRPr="00000000" w:rsidDel="00000000">
              <w:rPr>
                <w:rtl w:val="0"/>
              </w:rPr>
              <w:t xml:space="preserve"> pants stājas spēkā pirms minēto noteikumu pieņemšanas.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Kerno (ĢP)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23-TA-999</w:t>
    </w:r>
    <w:r>
      <w:br/>
    </w:r>
    <w:r w:rsidR="00000000" w:rsidRPr="00000000" w:rsidDel="00000000">
      <w:rPr>
        <w:rtl w:val="0"/>
      </w:rPr>
      <w:t xml:space="preserve">Izdrukāts 20.06.2023. 11.59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23-TA-999</w:t>
    </w:r>
    <w:r>
      <w:br/>
    </w:r>
    <w:r w:rsidR="00000000" w:rsidRPr="00000000" w:rsidDel="00000000">
      <w:rPr>
        <w:rtl w:val="0"/>
      </w:rPr>
      <w:t xml:space="preserve">Izdrukāts 20.06.2023. 11.59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Atzinumi_23-TA-999.docx</dc:title>
</cp:coreProperties>
</file>

<file path=docProps/custom.xml><?xml version="1.0" encoding="utf-8"?>
<Properties xmlns="http://schemas.openxmlformats.org/officeDocument/2006/custom-properties" xmlns:vt="http://schemas.openxmlformats.org/officeDocument/2006/docPropsVTypes"/>
</file>