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zinātnisko institūciju zinātības, tehnoloģiju, izgudrojumu un augu šķirņu komercializāciju, ieguldījumu novērtēšanu, riska toleranci un atlīdzību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iekļautais punkts ir tukšs. Lūdzam precizēt attiecīgo punktu, ietverot tajā normatīvo regulējumu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noteikumu 4.1. un 4.2. apakšpunktā minēto komercializācijas veidu, ja tiesību uz intelektuālā rezultāta komercializācijas darījums ir veikts par cenu, kas nav zemāka par šo noteikumu 17. punktā noteikto tirgus cenu, darījums nav kvalificējams kā komercdarbības atbalsts.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Egija Aurēlija Liepiņa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ir pārkapti šajos noteikumos noteiktie komercdarbības atbalstu izslēdzošie kritēriji, kas noteikti šo noteikumu 9. un 11. punktā, valsts zinātniskajai institūcijai attiecībā uz gala saņēmēju ir pienākums nodrošināt nelikumīgā komercdarbības atbalsta atgūšanu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iekļautais 9. punkts ir tukšs, līdz ar to atsauce ir nekorekta.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Egija Aurēlija Liepiņa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06.03.2026.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06.03.2026.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Atzinumi_25-TA-879.docx</dc:title>
</cp:coreProperties>
</file>

<file path=docProps/custom.xml><?xml version="1.0" encoding="utf-8"?>
<Properties xmlns="http://schemas.openxmlformats.org/officeDocument/2006/custom-properties" xmlns:vt="http://schemas.openxmlformats.org/officeDocument/2006/docPropsVTypes"/>
</file>