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tā dalībnieku, neskaitot pētniecības un zināšanu izplatīšanas organizācijas un valsts kapitālsabiedrības, vidējais apgrozījums pēdējo triju noslēgto finanšu gadu laikā līdz projekta iesnieguma iesniegšanai ir ne mazāks kā 40 miljoni </w:t>
            </w:r>
            <w:r w:rsidR="00000000" w:rsidRPr="00000000" w:rsidDel="00000000">
              <w:rPr>
                <w:i w:val="1"/>
                <w:rtl w:val="0"/>
              </w:rPr>
              <w:t xml:space="preserve">euro </w:t>
            </w:r>
            <w:r w:rsidR="00000000" w:rsidRPr="00000000" w:rsidDel="00000000">
              <w:rPr>
                <w:rtl w:val="0"/>
              </w:rPr>
              <w:t xml:space="preserve">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16.4. punktu, jo tas neattiecas uz pasākuma ietvaros sasniedzamiem nacionālajiem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svītrot Noteikumu projekta 16.4.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pasākuma ietvaros ir sadarbības tīkls, kurš pēc projekta iesnieguma apstiprināšanas ir finansējuma saņēmējs, kas atbilst šādām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18.punktu esošajā redakcijā, jo tas neietver nosacījumu par sadarbības tīkla apgrozījuma apjomu 40 milj. EUR, kas minēts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papildināt Noteikumu projekta 18. punktu ar 18.8. apakšpunktu, kurā paredzēts anotācijā minētais nosacījums par sadarbības tīkla apgrozījuma apjomu 40 milj.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Vienkāršoto izmaksu vienotā izmaksu likme šo noteikumu </w:t>
            </w:r>
            <w:r w:rsidR="00000000" w:rsidRPr="00000000" w:rsidDel="00000000">
              <w:rPr>
                <w:rtl w:val="0"/>
              </w:rPr>
              <w:t xml:space="preserve">30.1.1.</w:t>
            </w:r>
            <w:r w:rsidR="00000000" w:rsidRPr="00000000" w:rsidDel="00000000">
              <w:rPr>
                <w:rtl w:val="0"/>
              </w:rPr>
              <w:t xml:space="preserve"> un </w:t>
            </w:r>
            <w:r w:rsidR="00000000" w:rsidRPr="00000000" w:rsidDel="00000000">
              <w:rPr>
                <w:rtl w:val="0"/>
              </w:rPr>
              <w:t xml:space="preserve">30.1.3.</w:t>
            </w:r>
            <w:r w:rsidR="00000000" w:rsidRPr="00000000" w:rsidDel="00000000">
              <w:rPr>
                <w:rtl w:val="0"/>
              </w:rPr>
              <w:t xml:space="preserve"> apakšpunktā minētajām personāla atlīdzības izmaksām ir 20 procentu no pārējām tiešajām attiecināmajām izmaksām, neieskaitot personāla izmaksas,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31. punktu esošajā redakcijā, jo tas paredz ievērojami samazināt pieļaujamās projektu vadības izmaksas salīdzinājumā ar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noteikumiem, kuros paredzētais personāla atlīdzības izmaksu ierobežojums bija līdz 35% no projekta kopējām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precizēt Noteikumu projekta 31.punktu, tajā nosakot, ka vienkāršoto izmaksu vienotā izmaksu likme šo noteikumu 30.1.1. un 30.1.3. apakšpunktā minētajām personāla atlīdzības izmaksām ir 35 procentu no pārējām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Sadarbības tīkls iesniedz vadības informācijas sistēmā par katru sadarbības tīkla dalībnieku vismaz reizi gadā kopā ar maksājuma pieprasījumu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45. punktu esošajā redakcijā, jo tā pieļauj nesamērīgu administratīvu slogu gadījumos, ja atbildīgā iestāde pieprasa attiecīgo informāciju vairākas reizes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Noteikumu projekta 45. punktā paredzēt, ka atbildīgā iestāde pieprasa attiecīgo informāciju ne biežāk kā vienu reizi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53.15. protokolēt lēmuma pieņemšanu par atbalsta piešķiršanu sadarbības tīkla dalībniekam;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svītrot Noteikumu projekta 53.15. apakšpunktu, jo tas rada nepamatotu administratīvo slogu projekta īstenotājiem.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Sadarbības tīkla dalībnieks līdz ar projekta pieteikuma iesniegšanu apliecina, ka saņemtais atbalsts tiks vērsts uz eksporta apjoma un produktivitātes kāpināšanu sadarbības tīkla dalībnieku līmenī piecu gadu laikā pēc sadarbības tīkla dalībnieku noslēguma pārskata iesniegšanas.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svītrot Noteikumu projekta 61.punktu, jo tas rada nepamatotu administratīvo slogu projekta īstenotājiem.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Sadarbības tīkls pēc sadarbības tīkla dalībnieka noslēguma pārskata iesniegšanas un piecus gadus pēc tam pārbauda sadarbības tīkla dalībnieka eksporta apjoma un produktivitātes pieaugumu.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svītrot Noteikumu projekta 62.punktu, jo tik ilgs uzraudzības periods (vēl 5 gadus pēc noslēguma pārskata iesniegšanas) šo rādītāju kontrolei rada nesamērīgi lielu administratīvo slogu sadarbības tīklam.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22.03.2024.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22.03.2024.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