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5. jūlija noteikumos Nr. 541 "Bīstamo kravu aprites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izziņā ir norāde, ka Valsts kancelejas 2026. gada 26. maijā izteiktais priekšlikums ir ņemts vērā, tomēr tiesību akta projektā nav veikti papildinājumi, kā arī izziņā nav norādīts pamatojums, kāpēc tiesību akts nav pilnveidots.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1.2. apakšpunktā ietverto mērķa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mērķim būtu jābūt vērstam uz pozitīvām izmaiņām vai sasniedzamo rezultātu Latvijā, nevis tikai Eiropas Savienības direktīvu prasību pārņemšanu vai normu pārcelšanu starp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direktīvu pārņemšana var būt pamatojums noteikumu projekta izstrādei, pašā mērķa formulējumā būtu atspoguļojams, kādus konkrētus uzlabojumus vai ieguvumus paredzēts panākt, piemēram, nodrošinot efektīvāku bīstamo kravu aprites kontroles regulējumu vai vienotu tiesisko regulējumu attiecīgajā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izziņā ir norāde, ka Valsts kancelejas 2026. gada 26. maijā izteiktais priekšlikums ir ņemts vērā, tomēr tiesību akta projektā nav veikti papildinājumi, kā arī izziņā nav norādīts pamatojums, kāpēc tiesību akts nav pilnveidots.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2.1. sadaļu, jo pašreizējā redakcija nav pilnībā atbilstoša projekta saturam un nesniedz korektu priekšstatu par tiesību akta ietekmi uz regulējuma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tiek ieviests detalizēts bīstamo kravu autopārvadājumu kontroles regulējums,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kontroles veikšanas kārtība, līdz ar to nav korekti anotācijā norādīt, ka “tiesiskais regulējums nemaina to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2.1. sadaļā ietverto ietekmes aprakstu, norādot, kā projekts ietekmē regulējuma mērķa grupas, tai skaitā kādas kontroles darbības, pienākumi vai procesuālās darbības var tikt piemērotas bīstamo kravu autopārvadājumos iesaistītajām fiziskajām un juridiskajām personām projekta regulējuma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izziņā ir norāde, ka Valsts kancelejas 2026. gada 26. maijā izteiktais priekšlikums ir ņemts vērā, tomēr tiesību akta projektā nav veikti papildinājumi, kā arī izziņā nav norādīts pamatojums, kāpēc tiesību akts nav pilnveidots.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un precizēt anotācijas 7. sadaļu, jo pašreiz anotācijā ir tikai uzskaitītas projekta izpildē iesaistītās institūcijas, bet nav sniegts izvērtējums par projekta faktisko ietekmi uz institūciju funkcijām, kontroles darbībām un administratīvajiem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ievieš detalizētu bīstamo kravu autopārvadājumu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jaunu pārbaudes protokolu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riska kategoriju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informācijas apriti starp institūcijām un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ikgadēju datu apkopošanu un 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paplašina uzraudzības institūciju praktiskās kontroles darbības, tostarp uzņēmumu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korektīvo pasākumu piemērošanu un transportlīdzekļu aizturēšanu.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anotācijas 7. sadaļā būtu jāatspoguļo: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mainās institūciju funkciju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pieaug kontroles darbību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nepieciešami papildu administratīvie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rodas administratīvās izmaksas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nepieciešama datu uzskaite, apkopošana vai informācijas apmaiņa.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sniegt izvērtējumu un nepieciešamības gadījumā papildināt anotācijas 7.2. apakšpunktu un 7.4. apakšpunktu, jo projekts paredz jaunas vai precizētas uzraudzības un kontroles darbības, informācijas apriti, datu apkopošanu un citus ar projekta izpildi saistītus institucionālos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11.06.2026.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11.06.2026.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Atzinumi_23-TA-291.docx</dc:title>
</cp:coreProperties>
</file>

<file path=docProps/custom.xml><?xml version="1.0" encoding="utf-8"?>
<Properties xmlns="http://schemas.openxmlformats.org/officeDocument/2006/custom-properties" xmlns:vt="http://schemas.openxmlformats.org/officeDocument/2006/docPropsVTypes"/>
</file>