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pēc kāda principa tiks noteikts garantijas prēmijas samazinājuma apjoms komersantiem, kas paredzēts līdz 90%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dzēst informāciju, kas nav saistīta ar aktuālo MK noteikumu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anotāciju ar izvērstāku pamatojumu noteikumu projekta 6. punktā ietvertajam grozījumam attiecībā uz nosacījumu kapitāla atdeves segšanai izmantot atmaksāto publisko finansējumu vidēji 10 % apmērā gadā visā programmas īstenošanas laikā (iepriekš noteikts “10 % apmērā gadā”). Vēršam uzmanību, ka anotācijā, kā arī izziņā </w:t>
            </w:r>
            <w:r w:rsidR="00000000" w:rsidRPr="00000000" w:rsidDel="00000000">
              <w:rPr>
                <w:u w:val="single"/>
                <w:rtl w:val="0"/>
              </w:rPr>
              <w:t xml:space="preserve">nav skaidrota grozījuma nepieciešamība un aktualitāte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Saimnieciskās darbības veicējiem, kuru darbības nozare ir NACE 2.redakcijas grupa "Ceļojumu biroju, tūrisma operatoru un citi rezervēšanas pakalpojumi un ar tiem saistītas darbības", šo noteikumu 8.5. apakšpunkta minēto finanšu pakalpojumu garantēšanai prēmiju, kas aprēķināta saskaņā ar šo noteikumu 19. punktu, var samazināt, bet ne vairāk kā 90%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regulas Nr.1303/2013 37.panta 2.punktu, tirgus nepilnību izvērtējumu izstrādā pirms vadošās iestādes lēmuma par programmas ieguldījumiem, proti, pirms šo grozījumu apstiprināšanas Ministru kabinetā, ka arī 37.panta 3.punkta trešajā daļu - tirgus nepilnību izvērtējums ir jāiesniedz ES fondu uzraudzības komitejai. Attiecīgi šis grozījumu projekts var būt apstiprināts Ministru kabinetā vai stājas spēkā tikai pēc tirgus nepilnību analīzes saskaņošanas ar ES fondu uzraudzības komiteju.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22.02.2023.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22.02.2023.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Atzinumi_22-TA-3622.docx</dc:title>
</cp:coreProperties>
</file>

<file path=docProps/custom.xml><?xml version="1.0" encoding="utf-8"?>
<Properties xmlns="http://schemas.openxmlformats.org/officeDocument/2006/custom-properties" xmlns:vt="http://schemas.openxmlformats.org/officeDocument/2006/docPropsVTypes"/>
</file>