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12.1 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pienākums atbilstoši noteiktiem kritērijiem izvērtēt nomas līguma termiņa noteikšanu virs sešiem gadiem pirms nomas tiesību piešķiršanas konkrētai personai, pēc būtības atšķiras no gadījuma, kad ir zināma konkrēta persona (nomnieks), bet ir plānots vien izvērtēt nomas līguma termiņa pagarināšanu. Piedāvātais regulējums ar atsauci uz noteikumu 12.1  punktu ir uzskatāms par neattiecināmu un formālu prasību nomas līguma pagarināšanai, jo iznomātājam tiek izvirzīts vien nosacījums izvērtēt  apstākļus atbilstoši kritērijiem, kas attiecas tikai uz nomas objektu. Citiem vārdiem, izvērtēšanas rezultāts var neietekmēt pieņemto lēmumu par nomas līguma pagarināšanu, jo nav noteiktības pie kāda izvērtēšanas rezultāta ir atsakāma nomas līguma pagarināšana. Pie šādiem apstākļiem ir pamats uzskatīt, ka tiks ierobežota citu personu iespējas pretendēt uz publiskas personas mantas iznomāšanu un publiskas personas iespējas saņemt augstāku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01.10.2025.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01.10.2025.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Atzinumi_25-TA-1525.docx</dc:title>
</cp:coreProperties>
</file>

<file path=docProps/custom.xml><?xml version="1.0" encoding="utf-8"?>
<Properties xmlns="http://schemas.openxmlformats.org/officeDocument/2006/custom-properties" xmlns:vt="http://schemas.openxmlformats.org/officeDocument/2006/docPropsVTypes"/>
</file>