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minēts, ka ieņēmumi no lauksaimnieciskās ražošanas vai akvakultūras produkcijas ražošanas tiks vērtēti par diviem noslēgtajiem taksācijas gadiem kā kritērijs marķētās dīzeļdegvielas saņemšanai, tas sniegs iespēju lauksaimniecības produkcijas ražotājiem izvēlēties </w:t>
            </w:r>
            <w:r w:rsidR="00000000" w:rsidRPr="00000000" w:rsidDel="00000000">
              <w:rPr>
                <w:u w:val="single"/>
                <w:rtl w:val="0"/>
              </w:rPr>
              <w:t xml:space="preserve">finansiāli labāko</w:t>
            </w:r>
            <w:r w:rsidR="00000000" w:rsidRPr="00000000" w:rsidDel="00000000">
              <w:rPr>
                <w:rtl w:val="0"/>
              </w:rPr>
              <w:t xml:space="preserve"> taksācijas gadu. Tāpat anotācijas 2.sadaļā ir norādīts, ka likumprojekts </w:t>
            </w:r>
            <w:r w:rsidR="00000000" w:rsidRPr="00000000" w:rsidDel="00000000">
              <w:rPr>
                <w:u w:val="single"/>
                <w:rtl w:val="0"/>
              </w:rPr>
              <w:t xml:space="preserve">pozitīvi ietekmēs</w:t>
            </w:r>
            <w:r w:rsidR="00000000" w:rsidRPr="00000000" w:rsidDel="00000000">
              <w:rPr>
                <w:rtl w:val="0"/>
              </w:rPr>
              <w:t xml:space="preserve"> lauksaimniekus un zivsaimniekus, kas piesakās dīzeļdegvielas saņemšanai, un to skaits ir aptuveni 16 000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paredzama ietekme uz valsts budžetu. Kamēr nav aprēķināta fiskālā ietekme uz valsts budžetu un atspoguļota anotācijas 3.sadaļā, nevaram atbalstīt likumprojekta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likumā "Par akcīzes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likuma “Par akcīzes nodokli” (turpmāk – likums)  25.panta četrpadsmitajā daļā ir noteikts, ka apstiprinātam noliktavas turētājam atļauts atlikto nodokļa maksāšanu piemērot tām akcīzes precēm, uz kurām neattiecas likuma 25. panta devītajā daļā noteiktais dokuments un datorizētās sistēmas izmantošanas nosacījumi, ja šīs preces no akcīzes preču noliktavas Latvijā pārvieto uz citu akcīzes preču noliktavu Latvijā vai uz ārvalsti (arī dalībvalsti) vai teritoriju, kura minēta likuma 2.panta 3.</w:t>
            </w:r>
            <w:r w:rsidR="00000000" w:rsidRPr="00000000" w:rsidDel="00000000">
              <w:rPr>
                <w:vertAlign w:val="superscript"/>
                <w:rtl w:val="0"/>
              </w:rPr>
              <w:t xml:space="preserve">1</w:t>
            </w:r>
            <w:r w:rsidR="00000000" w:rsidRPr="00000000" w:rsidDel="00000000">
              <w:rPr>
                <w:rtl w:val="0"/>
              </w:rPr>
              <w:t xml:space="preserve"> daļā, vai uz muitas iestādi, kas vienlaikus ir nosūtītāja muitas iestāde ārējā tranzīta procedūrā izlaišanai eksportam; piegādā likuma 20.pantā minētajām personām vai organizācijām citā dalībvalstī;  ieved Latvijā no citas ārvalsts (arī dalībvalsts) vai no teritorijas, kura minēta likuma 2.panta 3.</w:t>
            </w:r>
            <w:r w:rsidR="00000000" w:rsidRPr="00000000" w:rsidDel="00000000">
              <w:rPr>
                <w:vertAlign w:val="superscript"/>
                <w:rtl w:val="0"/>
              </w:rPr>
              <w:t xml:space="preserve">1</w:t>
            </w:r>
            <w:r w:rsidR="00000000" w:rsidRPr="00000000" w:rsidDel="00000000">
              <w:rPr>
                <w:rtl w:val="0"/>
              </w:rPr>
              <w:t xml:space="preserve"> daļā, pārvietošanai uz akcīzes preču noliktavu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likuma 25.panta piecpadsmitajā daļā noteikts, ka apstiprināts noliktavas turētājs, kas veic likuma 25.panta panta četrpadsmitajā daļā minētās darbības, nemaksā nodokli, ja Valsts ieņēmumu dienestam tiek iesniegti dokumenti vai nodokļa deklarācijai pievienots apstiprināts to uzskaitījums, kas apliecina, ka likuma 25.panta panta četrpadsmitajā daļā minētās akcīzes preces atbilst vienam no šādiem nosacījumiem: preces saņemtas akcīzes preču noliktavā Latvijā; preces izvestas no Latvijas un saņemtas citā dalībvalstī;  preces izvestas no Latvijas uz ārvalsti, kas nav dalībvalsts, vai uz teritoriju, kura minēta šā likuma 2.panta 3.</w:t>
            </w:r>
            <w:r w:rsidR="00000000" w:rsidRPr="00000000" w:rsidDel="00000000">
              <w:rPr>
                <w:vertAlign w:val="superscript"/>
                <w:rtl w:val="0"/>
              </w:rPr>
              <w:t xml:space="preserve">1</w:t>
            </w:r>
            <w:r w:rsidR="00000000" w:rsidRPr="00000000" w:rsidDel="00000000">
              <w:rPr>
                <w:rtl w:val="0"/>
              </w:rPr>
              <w:t xml:space="preserve"> daļā, vai tās ir izlaistas eksportam, piemērojot ārējā tranzīta procedūru, ja izvešanas muitas iestāde ir nosūtītāja muitas iestāde ārējā tranzīta procedūrā; preces ir saņēmušas likuma 20.pantā minētās organizācijas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šo regulējumu no Latvijas uz dalībvalstīm tiek pārvietoti naftas produkti ar Kombinētās nomenklatūras (turpmāk – KN) kodiem 2710 19 91 un 2710 19 99. Pati par sevi tā situācija būtu pieņemama, ja vien šo regulējumu neizmantotu ļaunprātīgi. Pēdējos gados vairākkārtīgi ir konstatēts, ka šīs normas izmanto viltotu naftas produktu pārvietošanai, proti, no pamatizejvielas – dīzeļdegvielas jeb gāzeļļas (71-90%), pievienojot bāzes eļļas un piedevas, tiek saražoti naftas produkti, kuriem komersanti piemēro KN kodus 2710 19 91 un 2710 19 99. Testējot šo produktu paraugus, noteikts, ka paraugi satur triacetīnu. Saskaņā ar VID rīcībā esošo informāciju, tādas piedevas kā triacetīns, bis-(2-etilheksil)-adipināts u.c. esteru saturošas piedevas, kas neatbilst terminam “biokomponenti” KN 27.nodaļas izpratnē, pievienojot tās nelielos daudzumos, būtiski nemaina degvieleļļas pamatīpašības, bet maina maisījuma pārziepjošanas skaitli (tas kļūst vienāds ar 4 vai lielāks), kā rezultātā tiek nepamatoti piemērots KN kods 2710 19 91 vai 2710 19 99, bet faktiski naftas produkts atbilst KN kodam 2710 19 62, kas ir harmonizēta akcīzes prece, un kuras pārvietošana ES ir stingri reglamentēta. Tādējādi, pārvietojot no Latvijas viltotos naftas produktus – (dizainēto degvielu) uz citām ES dalībvalstīm un nododot to tur patēriņam kā neakcīzes preci, notiek izvairīšanās no akcīzes nodokļa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naftas produkti ar KN kodiem 2710 19 91 un 2710 19 99 tiks iekļauti energoproduktu direktīvā, kas nozīmē, ka uz tiem attieksies Eiropas Savienībā vienotā akcīzes preču aprites kārtība, bet šobrīd nav skaidrs energoproduktu direktīvas spēkā stāšanās laiks, lai ierobežotu “dizainētās degvielas” izplatīšanu Eiropas Savienības tirgū un attiecīgi krāpšanos ar akcīzes nodokli, nacionālajā līmenī jau šobrīd nepieciešams noteikt nosacījumus tās pārvietošanai uz citu Eiropas Savienības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ar likumprojektu nepieciešams precizēt likuma “Par akcīzes nodokli” 25.panta četrpadsmito un piecpadsmito daļu, nosakot, ka apstiprināts noliktavas turētājam atļauts piemērot atlikto akcīzes nodokļa maksāšanu tām akcīzes precēm,  uz kurām neattiecas likuma 25.panta panta devītajā daļā noteiktais dokuments un datorizētās sistēmas izmantošanas nosacījumi, ja šīs preces  no akcīzes preču noliktavas Latvijā pārvieto uz akcīzes preču noliktavu Latvijā vai citā dalībvalstī. Nemaksāt akcīzes nodokli apstiprināts noliktavas turētājs būs tiesīgs tikai tad, ja Valsts ieņēmumu dienestam tiks iesniegti dokumenti vai nodokļa deklarācijai pievienots apstiprināts to uzskaitījums, kas apliecina, ka likuma 25. panta četrpadsmitajā daļā minētās akcīzes preces saņemtas akcīzes preču noliktavā Latvijā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papildināt likumprojektu ar jauniem pantiem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25. panta četrpadsmitajā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punkta “a” apakšpunktu aiz vārdiem “Latvijas Republikā” ar vārdiem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punkta “b” apakšpunktā vārdus iekavās “(arī dalībvalsti)”;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 panta piecpadsmitajā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punktu aiz vārdiem “Latvijas Republikā “ ar vārdiem “vai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punktu, attiecīgi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w:t>
    </w:r>
    <w:r>
      <w:br/>
    </w:r>
    <w:r w:rsidR="00000000" w:rsidRPr="00000000" w:rsidDel="00000000">
      <w:rPr>
        <w:rtl w:val="0"/>
      </w:rPr>
      <w:t xml:space="preserve">Izdrukāts 27.01.2026.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w:t>
    </w:r>
    <w:r>
      <w:br/>
    </w:r>
    <w:r w:rsidR="00000000" w:rsidRPr="00000000" w:rsidDel="00000000">
      <w:rPr>
        <w:rtl w:val="0"/>
      </w:rPr>
      <w:t xml:space="preserve">Izdrukāts 27.01.2026.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Atzinumi_26-TA-32.docx</dc:title>
</cp:coreProperties>
</file>

<file path=docProps/custom.xml><?xml version="1.0" encoding="utf-8"?>
<Properties xmlns="http://schemas.openxmlformats.org/officeDocument/2006/custom-properties" xmlns:vt="http://schemas.openxmlformats.org/officeDocument/2006/docPropsVTypes"/>
</file>