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pārvaldes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vieglākai un saprotamākai uztverei, iesakām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- 9.2. pozīcijai atstāt nosaukumu "dabas izglītības nodarbība izbraukumā",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pozīcijai atstāt nosaukumu "Pārvaldes speciālista/eksperta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- 12.4. pozīcijai atstāt nosaukumu "maksa par 12.1.-12.3. apakšpunktā minēto valsts zemes nomas līgumu izpildes uzraudzības vizīti",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pozīcijai atstāt nosaukumu "Invazīvo sugu turēšanas atļaujas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pozīcijai atstāt nosaukumu "Zooloģiskā dārza izveidošanas un reģistrācijas atļaujas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pārējo šobrīd esošā nosaukuma daļu atstāt kā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 sadaļas 6. punktā norādīto izdevumu sadalījumu 2027.gadam un 2028.gadam ar 1.1. un 2.1. apakšpunktos norādīto informāciju, jo, saskaitot kopā 6. punktā norādītos apmērus 473 986 euro un 449 250 euro, kopsumma veidojas 923 236 euro apmērā, taču 3. sadaļas 1.1. un 2.1. apakšpunktos norādītās kopsummas attiecīgajiem gadiem ir 922 920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09.12.2025.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09.12.2025.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Atzinumi_25-TA-2466.docx</dc:title>
</cp:coreProperties>
</file>

<file path=docProps/custom.xml><?xml version="1.0" encoding="utf-8"?>
<Properties xmlns="http://schemas.openxmlformats.org/officeDocument/2006/custom-properties" xmlns:vt="http://schemas.openxmlformats.org/officeDocument/2006/docPropsVTypes"/>
</file>