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5.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ir saskatāma juridiskās tehnikas nepilnība attiecībā uz grozāmā likuma 5. pantu. Proti, tiek ierosināts papildināt Valsts civildienesta likuma 5. panta otrās daļas 1., 2., 3., punktu ar vārdiem “un darbinieku”, tomēr grozāmā likuma 5. panta pirmā daļa paliek nemainīga (nav ierosināts veikt grozījumus). Lai novērstu minēto nepilnību, jāveic grozījumi arī grozāmā likuma 5. panta pirmajā daļā, paplašinot to ar attiecīgo personu loku – valsts pārvaldes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administrācijas skola ir Valsts kancelejas pārraudzībā esoša valsts pārvaldes iestāde, kas īsteno valsts politiku ierēdņu un valsts pārvaldes darbinieku izglītības jomā, lai sagatavotu augsti profesionālus ierēdņus un darbiniekus.”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Celms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01.12.2025.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01.12.2025.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Atzinumi_25-TA-2573.docx</dc:title>
</cp:coreProperties>
</file>

<file path=docProps/custom.xml><?xml version="1.0" encoding="utf-8"?>
<Properties xmlns="http://schemas.openxmlformats.org/officeDocument/2006/custom-properties" xmlns:vt="http://schemas.openxmlformats.org/officeDocument/2006/docPropsVTypes"/>
</file>