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Energokopienu reģistrēšanas un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Atjaunīgās enerģijas kopīgošanas nosacījumi un kārtība un atjaunīgās enerģijas kopīgošanas līgumā ietveramie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turpina uzturēt iebildumu par nepieciešamību energokopienām noteikt maksimālo jaudu un kapacitātes griestus to īpašumā vai lietošanā esošām iekārtām siltumenerģijas ražošanai un uzkrāšanai un noteikt minimālo saražotās siltumenerģijas īpatsvaru energokopienas siltumenerģijas patēriņa nodrošināšanai. Aicinām KEM skaidrot, kādēļ šie nosacījumi ir piemērojami elektroenerģijai, bet netiek piemēroti siltumenerģijai.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ieskatā, veicot labojumu III. nodaļas nosaukumā, kur vārdi “siltumenerģijas” aizstāti ar vārdiem “atjaunīgās enerģijas”, Noteikumi ir attiecināmi arī uz biometāna un citu atjaunīgo energoresursu izmantošanu. Gadījumā, ja kopiena elektroenerģiju ražo, izmantojot fosilos resursus, uz to ir attiecināmi tikai II nodaļas nosacījumi, bet, ja elektroenerģiju ražo, izmantojot atjaunīgos resursus, kopienai saistoši ir gan II. , gan III. nodaļas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iepriekšējo nodaļas nosaukumu “Siltumenerģijas kopīgošanas nosacījumi un kārtība un siltumenerģijas kopīgošanas līgumā ietveramie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06.09.2024.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06.09.2024.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Atzinumi_23-TA-691.docx</dc:title>
</cp:coreProperties>
</file>

<file path=docProps/custom.xml><?xml version="1.0" encoding="utf-8"?>
<Properties xmlns="http://schemas.openxmlformats.org/officeDocument/2006/custom-properties" xmlns:vt="http://schemas.openxmlformats.org/officeDocument/2006/docPropsVTypes"/>
</file>