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11.</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uzņēmējiem un valsts iestādēm, tostarp Valsts ieņēmumu dienestam, un novērstu nepamatotas izmaksas, būtu nelietderīgi uzlikt ražotājiem pienākumu maksāt akcīzes nodokli par produktiem, kas netiek tirgoti vai patērēti. Būtu nepieciešams apsvērt iespējas vienkāršot pierādīšanas procesu saistībā ar zudušajām akcīzes nodokļa markām (t.sk. par nederīgām, neatgriezeniski bojātām un objektīvi zudušām akcīzes nodokļu markām)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ražotājus būtu jāatbrīvo no akcīzes nodokļa maksāšanas par zudušām akcīzes nodokļa markām, ja ir pierādījumi, ka iztrūkums radies no nodokļu maksātāja neatkarīgu apstākļu dēļ. Lai novērstu situācijas, kad akcīzes preces nonāk tirgū bez nodokļa nomaksas, būtu nepieciešams precizēt un papildināt nosacījumus, kas ļautu ražotājiem pretendēt uz atbrīvojumu no akcīzes nodokļa maksāšanas par akcīzes markām, kuras nav nonākušas tirgū un ir neatgriezeniski bojātas.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12.12.2024.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12.12.2024.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Atzinumi_24-TA-82.docx</dc:title>
</cp:coreProperties>
</file>

<file path=docProps/custom.xml><?xml version="1.0" encoding="utf-8"?>
<Properties xmlns="http://schemas.openxmlformats.org/officeDocument/2006/custom-properties" xmlns:vt="http://schemas.openxmlformats.org/officeDocument/2006/docPropsVTypes"/>
</file>