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"Terehovas robežkontroles punkts", Zaļesjes pagastā, Ludzas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materiāli_2)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nodot Satiksmes ministrijas valdījumā valsts nekustamā īpašuma "Terehovas robežkontroles punkts" (nekustamā īpašuma kadastra Nr. 6896 006 0025) sastāvā esošās zemes vienības (zemes vienības kadastra apzīmējums 6896 006 0180) ar kopējo platību 12,6717 ha daļu aptuveni 0,0947 ha platībā, Zaļesjes pagastā, Ludzas novadā, kopā ar saistītās inženierbūves “Ceļi un stāvlaukumi” (būves kadastra apzīmējums 6896 006 0026 017) ar kopējo platību 37300 m</w:t>
            </w:r>
            <w:r w:rsidR="00000000" w:rsidRPr="00000000" w:rsidDel="00000000">
              <w:rPr>
                <w:vertAlign w:val="superscript"/>
                <w:rtl w:val="0"/>
              </w:rPr>
              <w:t xml:space="preserve">2</w:t>
            </w:r>
            <w:r w:rsidR="00000000" w:rsidRPr="00000000" w:rsidDel="00000000">
              <w:rPr>
                <w:rtl w:val="0"/>
              </w:rPr>
              <w:t xml:space="preserve"> daļu, aptuveni 439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Būvprojekts, kura ietvaros plānots nodot zemes, tika apstiprināts, neņemot vērā Valsts robežsardzes prasības, kādā veidā veidojama infrastruktūra un satiksmes kustība pirms robežšķērsošanas vietas. Šāda rīcība rada situāciju, ka robežšķērsošanas vietas infrastruktūras caurlaidība nekorelē ar valsts nozīmes ceļa caurlaidību. Rezultātā pirms robežas šķēršonas vietas rodas satiksmes haoss.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zemes nodošana var notikt tikai pēc tam, kad būvprojektā tiks veikti grozījumi, ņemot vērā Valsts robežsardzes iepriekš Latvijas valsts ceļiem iesniegtās prasības attiecībā uz satiksmes organizāciju, transportlīdzekļu rindas administrēšanu, kurus saskaņos VRS.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Krivmans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veikt nepieciešamās darbības šā rīkojuma 1. punktā minētā nekustamā īpašuma sastāvā esošās zemes vienības un ar to saistītās inženierbūves sadalei, atdalot no zemes vienības (zemes vienības kadastra apzīmējums 6896 006 0180) daļu aptuveni 0,0947 ha platībā un daļu no inženierbūves (būves kadastra apzīmējums 6896 006 0026 017) aptuveni 439 m</w:t>
            </w:r>
            <w:r w:rsidR="00000000" w:rsidRPr="00000000" w:rsidDel="00000000">
              <w:rPr>
                <w:vertAlign w:val="superscript"/>
                <w:rtl w:val="0"/>
              </w:rPr>
              <w:t xml:space="preserve">2</w:t>
            </w:r>
            <w:r w:rsidR="00000000" w:rsidRPr="00000000" w:rsidDel="00000000">
              <w:rPr>
                <w:rtl w:val="0"/>
              </w:rPr>
              <w:t xml:space="preserve"> platībā;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vienādu platības mērvienību lietošanu rīkojuma projektā, jo vienam zemes gabalam lietota mērvienība hektārs, savukārt otram kvadrātmetri.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Pommere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23-TA-1313</w:t>
    </w:r>
    <w:r>
      <w:br/>
    </w:r>
    <w:r w:rsidR="00000000" w:rsidRPr="00000000" w:rsidDel="00000000">
      <w:rPr>
        <w:rtl w:val="0"/>
      </w:rPr>
      <w:t xml:space="preserve">Izdrukāts 08.06.2023.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23-TA-1313</w:t>
    </w:r>
    <w:r>
      <w:br/>
    </w:r>
    <w:r w:rsidR="00000000" w:rsidRPr="00000000" w:rsidDel="00000000">
      <w:rPr>
        <w:rtl w:val="0"/>
      </w:rPr>
      <w:t xml:space="preserve">Izdrukāts 08.06.2023.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Atzinumi_23-TA-1313.docx</dc:title>
</cp:coreProperties>
</file>

<file path=docProps/custom.xml><?xml version="1.0" encoding="utf-8"?>
<Properties xmlns="http://schemas.openxmlformats.org/officeDocument/2006/custom-properties" xmlns:vt="http://schemas.openxmlformats.org/officeDocument/2006/docPropsVTypes"/>
</file>