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iegūšanas un apkopošanas kārtība par lauksaimniecībā izmantojamās zemes auglības līmeni un tā pārmaiņām, kā arī augšņu agroķīmiskās izpētes pakalpojumu sniedzēju atzīšanas nosacījumi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iegūšanas un apkopošanas kārtība par lauksaimniecībā izmantojamās zemes auglības līmeni un tā pārmaiņām, kā arī augšņu agroķīmiskās izpētes pakalpojumu sniedzēju atzīšanas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akta projekta "Informācijas iegūšanas un apkopošanas kārtība par lauksaimniecībā izmantojamās zemes auglības līmeni un tā pārmaiņām, kā arī augšņu agroķīmiskās izpētes pakalpojumu sniedzēju atzīšanas nosacījumi" (turpmāk – projekts) nosaukums neatbilst Lauksaimniecības un lauku attīstības likuma 10. panta otrās daļas 1. punktā ietvertajam deleģējumam attiecībā uz augšņu agroķīmiskās izpētes pakalpojumu sniedzēju atzīšanu, proti, Lauksaimniecības un lauku attīstības likuma attiecīgā norma paredz, ka par minēto jautājumu Ministru kabinets izstrādā kārtību, proti, procedūru (procesuālās tiesību normas), nevis nosacījumus (materiālās tiesību normas). Arī projekta 1. punkts noteic, ka par minēto jautājumu noteikumi nosaka kārtību, nevis nosacījumus. Ņemot vērā iepriekš minēto, lūdzam precizēt projekta nosaukumu, kā arī projekta sākotnējās ietekmes (ex-ante) novērtējuma ziņojuma (turpmāk - anotācija) 1.2. sadaļu "Mērķa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 ir nepieciešama objektīvai zemes auglības līmeņa un tā pārmaiņu (uzlabošanās vai degradēšanās) novērtēšanai valstī un augsnes aizsardzības pasākumu plānošanai, lai sekmētu ilglaicīgu lauksaimniecībā izmantojamās zemes apsaimniekošanu.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3.1. apakšpunktam normatīvā akta projektā neietver normas, kas ir deklaratīvas, proti, kurām nav juridiskās slodzes. Līdz ar to lūdzam svītrot projekta 2. punktu vai skaidrot tā juridisko būtību un nepieciešamību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Dienests pakalpojumu sniedzēju informācijas ieguvei par augšņu agroķīmisko izpēti atzīst šādos pakalpojumu veidos: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projektā minēto terminu "augšņu references laboratorija" – lūdzam anotācijā skaidrot, ka augšņu references laboratorijas funkcijas pilda Valsts augu aizsardzības dienests atbilstoši Lauksaimniecības un lauku attīstības likuma 10.panta 1.</w:t>
            </w:r>
            <w:r w:rsidR="00000000" w:rsidRPr="00000000" w:rsidDel="00000000">
              <w:rPr>
                <w:vertAlign w:val="superscript"/>
                <w:rtl w:val="0"/>
              </w:rPr>
              <w:t xml:space="preserve">2 </w:t>
            </w:r>
            <w:r w:rsidR="00000000" w:rsidRPr="00000000" w:rsidDel="00000000">
              <w:rPr>
                <w:rtl w:val="0"/>
              </w:rPr>
              <w:t xml:space="preserve">daļas 4.punktam. Tāpat arī ir izstrādāts Ministru kabineta noteikumu projekts "Augšņu references laboratorijas funkciju īstenošanas noteikumi" (TAP ID: 22-TA-2572), kas citastarp atzīst citu laboratoriju tiesības veikt analīzes augšņu agroķīmiskās izpētes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Dienests pakalpojumu sniedzēju informācijas ieguvei par augšņu agroķīmisko izpēti atzīst šādos pakalpojumu veidos: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apakšpunkts sniedz saīsinājumu terminam "augšņu agroķīmiskās izpētes pakalpojumu sniedzējs", proti, turpmāk – pakalpojumu sniedzējs. Nav skaidrs, kādēļ projekta 6. punkta ievaddaļā iekļauts teksts "informācijas ieguvei par augšņu agroķīmisko izpēti", jo tas saturiski dublē terminu "pakalpojumu sniedzējs". Līdz ar to lūdzam precizēt projekta 6. punkta ievaddaļu.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A pakalpojuma un B pakalpojuma atšķirību un iemeslu, kādēļ pakalpojuma sniedzējus var atzīt tieši divos pakalpojumu veidos, nevis, piemēram vienā vai trijos pakalpojuma veidos, jo pašlaik anotācija ir minēts, ka ir A un B pakalpojums, nesniedzot vairāk informācijas.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Pakalpojumu sniedzējs par tā atbilstības pārbaudi augšņu agroķīmiskās izpētes pakalpojumu sniegšanai sedz izdevumus saskaņā ar normatīvajiem aktiem par dienesta sniegto maksas pakalpojumu cenrādi.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 punktu, 13. punktu un 17. punktu par noteiktu pakalpojumu apmaksu nepieciešams svītrot, jo šāds regulējums neatbilst Lauksaimniecības un lauku attīstības likuma 10. panta otrās daļas 1. punktā esošajam pilnvarojumam. Vēršam uzmanību, ka jebkurai iestādei ir tiesības prasīt samaksu par jebkuriem pakalpojumiem, ja tie ir noteikti iestādes maksas pakalpojumu cenrādī, kas ir apstiprināts kā Ministru kabineta noteikumi, proti, iestādes maksas pakalpojumu cenrādis ir tieši piemērojams ārējais normatīvais akts. Ja Ministru kabineta 2012. gada 10. jūlija noteikumos Nr.493 “Valsts augu aizsardzības dienesta maksas pakalpojumu cenrādis” esošais regulējums ir nepilnīgs, grozījumi jāveic šajā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Dienests ir tiesīgs anulēt lēmumu par pakalpojuma sniedzēja atzīšanu, ja pakalpojumu sniedzējs nepilda šajos noteikumos minētās prasības vai dienests uzraudzības laikā ir konstatējis neatbilstības, kas ietekmē augšņu agroķīmiskās izpētes rezultātus.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punktu par lēmuma anulēšanu nepieciešams svītrot. Vēršam uzmanību, ka minētais regulējums paredz privātpersonai nelabvēlīgu rīcību, tādēļ Ministru kabineta noteikumos šāds regulējums būs pretrunā ar Administratīvā procesa likuma 11. pantā noteikto likuma atrunas principu, kas paredz,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Likuma pilnvarojums neparedz Ministru kabinetam ar noteikumiem paredzēt iestādei šādas tiesības.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22-TA-2862</w:t>
    </w:r>
    <w:r>
      <w:br/>
    </w:r>
    <w:r w:rsidR="00000000" w:rsidRPr="00000000" w:rsidDel="00000000">
      <w:rPr>
        <w:rtl w:val="0"/>
      </w:rPr>
      <w:t xml:space="preserve">Izdrukāts 10.02.2023.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22-TA-2862</w:t>
    </w:r>
    <w:r>
      <w:br/>
    </w:r>
    <w:r w:rsidR="00000000" w:rsidRPr="00000000" w:rsidDel="00000000">
      <w:rPr>
        <w:rtl w:val="0"/>
      </w:rPr>
      <w:t xml:space="preserve">Izdrukāts 10.02.2023.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Atzinumi_22-TA-2862.docx</dc:title>
</cp:coreProperties>
</file>

<file path=docProps/custom.xml><?xml version="1.0" encoding="utf-8"?>
<Properties xmlns="http://schemas.openxmlformats.org/officeDocument/2006/custom-properties" xmlns:vt="http://schemas.openxmlformats.org/officeDocument/2006/docPropsVTypes"/>
</file>