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26-TA-369: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Kohēzijas politikas ES fondu, Atveseļošanas fonda, EEZ, Norvēģijas un Šveices grantu investīciju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 Turpmākā ziņošanas kārtība Ministru kabinetam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atkāroti izvērtēt turpmākās ziņošanas kārtības atbilstību MK 2021. gada 7. septembra noteikumu Nr.606 “Ministru kabineta kārtības rullis” normatīvajam regulējumam, ņemot vērā, ka, piemēram, šo noteikumu 52.2.1.2. paredz, ka atzinums no Valsts kancelejas ir jāsaņem par jebkuru plānošanas dokumenta projektu un </w:t>
            </w:r>
            <w:r w:rsidR="00000000" w:rsidRPr="00000000" w:rsidDel="00000000">
              <w:rPr>
                <w:u w:val="single"/>
                <w:rtl w:val="0"/>
              </w:rPr>
              <w:t xml:space="preserve">informatīvā ziņojuma projektu par plānošanas dokumentu izpildi.</w:t>
            </w:r>
            <w:r w:rsidR="00000000" w:rsidRPr="00000000" w:rsidDel="00000000">
              <w:rPr>
                <w:rtl w:val="0"/>
              </w:rPr>
              <w:t xml:space="preserve"> Norādām, ka MK informatīvie ziņojumi par ES fondu investīciju progresu pēc būtības ir informatīvie ziņojumi par plānošanas dokumentu (piemēram, Eiropas Savienības kohēzijas politikas programma 2021.-2027.gadam) izpildi un ar MK protokollēmumiem noteiktie pienākumi un tiesības nevar nonākt pretrunā ar Ministru kabineta noteikumu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Haralds Beitelis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10.03.2026. 23.58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10.03.2026. 23.58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Atzinumi_26-TA-369.docx</dc:title>
</cp:coreProperties>
</file>

<file path=docProps/custom.xml><?xml version="1.0" encoding="utf-8"?>
<Properties xmlns="http://schemas.openxmlformats.org/officeDocument/2006/custom-properties" xmlns:vt="http://schemas.openxmlformats.org/officeDocument/2006/docPropsVTypes"/>
</file>