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25-TA-800: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Būvniecības likuma 5. panta pirmās daļas 2. punktu un otrās daļas 1. punktu, 14.</w:t>
            </w:r>
            <w:r w:rsidR="00000000" w:rsidRPr="00000000" w:rsidDel="00000000">
              <w:rPr>
                <w:vertAlign w:val="superscript"/>
                <w:rtl w:val="0"/>
              </w:rPr>
              <w:t xml:space="preserve">1</w:t>
            </w:r>
            <w:r w:rsidR="00000000" w:rsidRPr="00000000" w:rsidDel="00000000">
              <w:rPr>
                <w:rtl w:val="0"/>
              </w:rPr>
              <w:t xml:space="preserve"> panta ceturto daļu un Nekustamā īpašuma valsts kadastra likuma 24. panta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kopumā atbalsta birokrātisko šķēršļu samazināšanu  nelielu ēku būvniecības prasībām, taču pašreizējais piedāvājums šos sķēršļus vienkārši pārceļ uz būvvalžu atbildību.  Jau pašlaik  būvvaldes  saskaramies ar problēmām, ka vislielākie strīdi un sūdzības starp kaimiņiem vai kopīpašniekiem ir tieši par mazēkām vai palīgēkām līdz 60 kv.m. Pilsētas apbūvēto vidi tomēr nevar salīdzināt ar novadu teritorijām, kur apbūve nav tik blīva.  Tādēļ piedāvājam šis atbildības diferencēt, nosakot, ka šāds regulējums piemērojams lauku apvidos, bet pilsētās saglabājamas spēkā esošās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jaunajā regulējumā šādu ēku būvniecībai netiks piemērots būvniecības administratīvais process, tas vienozīmīgi palielinās sūdzību skaitu būvvaldēm un atzinumu sastādīšanas skaitu būvvaldes būvinspektoriem. Secīgi arī pieaugs darbs pārējiem būvvaldes speciālistiem, izskatot un sagatavojot patvaļīgās būvniecības lietas.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tiek fiksēti  gadījumi,   ka būvētāji pašu spēkiem t.sk. projektēšana nezina ne TIANā noteiktās prasības (blīvums, augstums, attālumi no ielas u.c), ne Civillikumā (piem. attālums no kaimiņa), ne citos būvniecības normatīvajos aktos noteiktās prasības (piem.ēkas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vajadzētu atrunāt, ka ja kaimiņš piem.ir uzbūvējis par tuvu otram zemesgabalam palīgēku, tad ar sūdzību tas vēršas nevis </w:t>
            </w:r>
            <w:r w:rsidR="00000000" w:rsidRPr="00000000" w:rsidDel="00000000">
              <w:rPr>
                <w:b w:val="1"/>
                <w:rtl w:val="0"/>
              </w:rPr>
              <w:t xml:space="preserve">būvvaldē, </w:t>
            </w:r>
            <w:r w:rsidR="00000000" w:rsidRPr="00000000" w:rsidDel="00000000">
              <w:rPr>
                <w:rtl w:val="0"/>
              </w:rPr>
              <w:t xml:space="preserve">bet </w:t>
            </w:r>
            <w:r w:rsidR="00000000" w:rsidRPr="00000000" w:rsidDel="00000000">
              <w:rPr>
                <w:b w:val="1"/>
                <w:rtl w:val="0"/>
              </w:rPr>
              <w:t xml:space="preserve">pie personas</w:t>
            </w:r>
            <w:r w:rsidR="00000000" w:rsidRPr="00000000" w:rsidDel="00000000">
              <w:rPr>
                <w:rtl w:val="0"/>
              </w:rPr>
              <w:t xml:space="preserve">, kas šādus būvdarbus ir veikusi. Ja strīds nav atrisināms, tad ceļ prasību tiesā civiltiesiskā kārtībā. Realitātē visas šīs problēmas un strīdi nonāk būvvaldē, kas administratīvo slogu tikai palielinās.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25-TA-800</w:t>
    </w:r>
    <w:r>
      <w:br/>
    </w:r>
    <w:r w:rsidR="00000000" w:rsidRPr="00000000" w:rsidDel="00000000">
      <w:rPr>
        <w:rtl w:val="0"/>
      </w:rPr>
      <w:t xml:space="preserve">Izdrukāts 20.06.2025.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25-TA-800</w:t>
    </w:r>
    <w:r>
      <w:br/>
    </w:r>
    <w:r w:rsidR="00000000" w:rsidRPr="00000000" w:rsidDel="00000000">
      <w:rPr>
        <w:rtl w:val="0"/>
      </w:rPr>
      <w:t xml:space="preserve">Izdrukāts 20.06.2025.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Atzinumi_25-TA-800.docx</dc:title>
</cp:coreProperties>
</file>

<file path=docProps/custom.xml><?xml version="1.0" encoding="utf-8"?>
<Properties xmlns="http://schemas.openxmlformats.org/officeDocument/2006/custom-properties" xmlns:vt="http://schemas.openxmlformats.org/officeDocument/2006/docPropsVTypes"/>
</file>