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pašvaldību finanšu stabilizācijas procesa uzsākšanu, procesa uzraudzību  un procesa izbeigšanu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pašvaldība neievēro Likuma par budžetu un finanšu vadību 45.</w:t>
            </w:r>
            <w:r w:rsidR="00000000" w:rsidRPr="00000000" w:rsidDel="00000000">
              <w:rPr>
                <w:vertAlign w:val="superscript"/>
                <w:rtl w:val="0"/>
              </w:rPr>
              <w:t xml:space="preserve">1</w:t>
            </w:r>
            <w:r w:rsidR="00000000" w:rsidRPr="00000000" w:rsidDel="00000000">
              <w:rPr>
                <w:rtl w:val="0"/>
              </w:rPr>
              <w:t xml:space="preserve"> panta otrajā daļā un šajos noteikumos noteiktās prasības, finanšu ministrs pēc Stabilizācijas komisijas ieteikuma var ierosināt Viedās administrācijas un reģionālās attīstības ministram izvērtēt domes darbības tiesiskumu un rīcībspēju.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“Pašvaldību likuma” 64. panta pirmajai daļai pašvaldības darbību pārrauga Viedās administrācijas un reģionālās attīstības ministrija </w:t>
            </w:r>
            <w:r w:rsidR="00000000" w:rsidRPr="00000000" w:rsidDel="00000000">
              <w:rPr>
                <w:i w:val="1"/>
                <w:rtl w:val="0"/>
              </w:rPr>
              <w:t xml:space="preserve">(likumā joprojām Vides aizsardzības un reģionālās attīstības ministrija)</w:t>
            </w:r>
            <w:r w:rsidR="00000000" w:rsidRPr="00000000" w:rsidDel="00000000">
              <w:rPr>
                <w:rtl w:val="0"/>
              </w:rPr>
              <w:t xml:space="preserve">, savukārt šī panta otrā daļa nosaka, ka valsts pārvaldes iestādēm un amatpersonām, kuras likumos paredzētajos gadījumos un noteiktajā kārtībā pārrauga pašvaldības darbības likumību, tostarp sociālās drošības un bērnu tiesību aizsardzības jautājumos, un konstatē, ka pašvaldības institūcijas vai amatpersonas nepilda vai pārkāpj ārējos normatīvos aktus vai nepilda tiesas spriedumus, ir pienākums nekavējoties par to ziņot Viedās administrācijas un reģionālās attīstības ministrijai. Savukārt “Pašvaldību likuma” tālākos pantos (VII nodaļa) ir noteikts, kā Viedās administrācijas un reģionālās attīstības ministrija var rīkoties, ja pašvaldības institūcijas vai amatpersonas nepilda vai pārkāpj ārējos normatīvos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LPS ieskatā 28.punkts noteikumu projektā ir svītrojams, jo saturiski dublē “Pašvaldību likuma” 64.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ja pašvaldība neievēro Likuma par budžetu un finanšu vadību 45.</w:t>
            </w:r>
            <w:r w:rsidR="00000000" w:rsidRPr="00000000" w:rsidDel="00000000">
              <w:rPr>
                <w:vertAlign w:val="superscript"/>
                <w:rtl w:val="0"/>
              </w:rPr>
              <w:t xml:space="preserve">1</w:t>
            </w:r>
            <w:r w:rsidR="00000000" w:rsidRPr="00000000" w:rsidDel="00000000">
              <w:rPr>
                <w:rtl w:val="0"/>
              </w:rPr>
              <w:t xml:space="preserve"> panta nosacījumus, finanšu ministrs par to var informēt viedās administrācijas un reģionālās attīstības ministru.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25-TA-252</w:t>
    </w:r>
    <w:r>
      <w:br/>
    </w:r>
    <w:r w:rsidR="00000000" w:rsidRPr="00000000" w:rsidDel="00000000">
      <w:rPr>
        <w:rtl w:val="0"/>
      </w:rPr>
      <w:t xml:space="preserve">Izdrukāts 12.02.2025. 15.11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25-TA-252</w:t>
    </w:r>
    <w:r>
      <w:br/>
    </w:r>
    <w:r w:rsidR="00000000" w:rsidRPr="00000000" w:rsidDel="00000000">
      <w:rPr>
        <w:rtl w:val="0"/>
      </w:rPr>
      <w:t xml:space="preserve">Izdrukāts 12.02.2025. 15.11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Atzinumi_25-TA-252.docx</dc:title>
</cp:coreProperties>
</file>

<file path=docProps/custom.xml><?xml version="1.0" encoding="utf-8"?>
<Properties xmlns="http://schemas.openxmlformats.org/officeDocument/2006/custom-properties" xmlns:vt="http://schemas.openxmlformats.org/officeDocument/2006/docPropsVTypes"/>
</file>