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kas paredz veikt grozījumus Sauszemes transportlīdzekļu īpašnieku civiltiesiskās atbildības obligātās apdrošināšanas likuma (turpmāk  - Likums vai OCTA likums) 1.panta pirmajā daļā, nepieciešami vēl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jāprecizē likuma 1.panta pirmās daļas 12.punkta “a” apakšpunkts, iekavās minot transportlīdzekļu veidus, kas pakļauti OCTA apdrošināšanai.  Šāds uzskaitījums iekavās ir nepieciešams, lai transportlīdzekļa īpašniekiem un tiesīgajiem lietotājiem būtu viegli uztverams, kāda veida transportlīdzekļi ir pakļauti OCTA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jādod atsauce arī uz "elektromobilis" (jaunieviesto terminu saskaņā ar grozījumiem Ceļu satiksmes likumā), kas  ir mehāniskais transportlīdzeklis, kas pēc savas konstrukcijas kā vienīgo mehānisko dzinējspēku izmanto enerģiju no transportlīdzeklī glabātās elektroenerģijas vai dzinējspēka glabāšanas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1.panta pirmās daļas 12.punkts jāpapildina ar “c” apakšpunktu, lai paredzētu, ka arī "elektroskrejritenis un  velorikša" ir uzskatāmi par transportlīdzekļiem OCTA likuma izpratnē un attiecīgi tiem ir nepieciešama OCTA polise.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 izsludināti grozījumi Ceļu satiksmes likumā, kas spēkā ar 06.07.2023. Ņemot vērā to, ka ar šiem grozījumiem Ceļu satiksmes likumā  (CSL) elektroskrejriteņu un velorikšu reģistrācija ir obligāta (lai varētu iegādāties arī OCTA), attiecīgi grozījumi veicami arī OCTA likumā, lai paredzētu prasību par OCTA veikšanu šiem transportlīdzekļiem.  Normas par obligāto reģistrāciju stājas spēkā 2024. gada 1. janvārī, un vienlaikus CSL noteikts, ka elektroskrejriteņu un velorikšu reģistrācija veicama līdz 2024. gada 31. martam, un pēc šā termiņa ar nereģistrētiem elektroskrejriteņiem un velorikšām ceļu satiksmē piedalīties aizliegts. OCTA likuma pārejas noteikumos jāparedz prasība par OCTA veikšanu šiem transportlīdzekļiem no 01.07.2024., lai apdrošinātāji varētu sagatavoties šādu izmaiņu veikšanai savās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grozījumi jāparedz šajos OCTA likuma grozījumos vai arī jau Saeimā iesniegtajos OCTA likuma grozījumos (Nr: 285/Lp14).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jāparedz, ka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1.panta pirmās daļas 14.punktā jāizslēdz vārdi "ceļu satiksmē", jo transportlīdzekli var lietot jebkurā vietā, un tad, kad transportlīdzeklis tiek lietots atbilstoši braukšanas funkcijai, nepieciešams, lai būtu spēkā esoša OCTA polise. OCTA nepieciešama, transportlīdzekli lietojot ne tikai ceļu satiksmē,  bet, arī, piem., pļavā vai mežā, jo "ceļu satiksmes negadījuma" (CSNg) definīcija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1.pantu (grozījumus likuma 1.panta pirmajā daļā)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12.punkta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sauszemes mehāniskais transportlīdzeklis (tai skaitā </w:t>
            </w:r>
            <w:r w:rsidR="00000000" w:rsidRPr="00000000" w:rsidDel="00000000">
              <w:rPr>
                <w:u w:val="single"/>
                <w:rtl w:val="0"/>
              </w:rPr>
              <w:t xml:space="preserve">elektromobilis,</w:t>
            </w:r>
            <w:r w:rsidR="00000000" w:rsidRPr="00000000" w:rsidDel="00000000">
              <w:rPr>
                <w:rtl w:val="0"/>
              </w:rPr>
              <w:t xml:space="preserve">  piekabe (puspiekabe),</w:t>
            </w:r>
            <w:r w:rsidR="00000000" w:rsidRPr="00000000" w:rsidDel="00000000">
              <w:rPr>
                <w:u w:val="single"/>
                <w:rtl w:val="0"/>
              </w:rPr>
              <w:t xml:space="preserve"> traktortehnika (speciālā traktortehnika), mopēds, kvadricikls, tricikls</w:t>
            </w:r>
            <w:r w:rsidR="00000000" w:rsidRPr="00000000" w:rsidDel="00000000">
              <w:rPr>
                <w:rtl w:val="0"/>
              </w:rPr>
              <w:t xml:space="preserve">, trolejbuss), kas ir reģistrējams Ceļu satiksmes drošības direkcijā vai Valsts tehniskās uzraudzības aģentūrā, vai vietējā pašvaldībā vai ir reģistrēts ārvalstī,";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12.punktu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 velorikša;”;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14.punktā vārdus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gadījums — ceļu satiksmes negadījums, kurā, lietojot transportlīdzekli transporta vajadzībām neatkarīgi no transportlīdzekļa lietošanas vietas un neatkarīgi no tā, vai transportlīdzeklis bija stāvošs vai atradās kustībā, ir nodarīti zaudējumi (kaitējums) trešajai personai un kuram iestājoties paredzēta apdrošināšanas atlīdzības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pirmās daļas 2.punktu nepieciešams precizēt redakcionāli,  kā arī nelietot pagātnes formas.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apdrošināšanas gadījums</w:t>
            </w:r>
            <w:r w:rsidR="00000000" w:rsidRPr="00000000" w:rsidDel="00000000">
              <w:rPr>
                <w:rtl w:val="0"/>
              </w:rPr>
              <w:t xml:space="preserve"> — ceļu satiksmes negadījums, </w:t>
            </w:r>
            <w:r w:rsidR="00000000" w:rsidRPr="00000000" w:rsidDel="00000000">
              <w:rPr>
                <w:u w:val="single"/>
                <w:rtl w:val="0"/>
              </w:rPr>
              <w:t xml:space="preserve">kad, </w:t>
            </w:r>
            <w:r w:rsidR="00000000" w:rsidRPr="00000000" w:rsidDel="00000000">
              <w:rPr>
                <w:rtl w:val="0"/>
              </w:rPr>
              <w:t xml:space="preserve">lietojot transportlīdzekli transporta vajadzībām neatkarīgi no transportlīdzekļa lietošanas vietas un neatkarīgi no tā, vai transportlīdzeklis</w:t>
            </w:r>
            <w:r w:rsidR="00000000" w:rsidRPr="00000000" w:rsidDel="00000000">
              <w:rPr>
                <w:u w:val="single"/>
                <w:rtl w:val="0"/>
              </w:rPr>
              <w:t xml:space="preserve"> ir stāvošs vai atrodas kustībā,</w:t>
            </w:r>
            <w:r w:rsidR="00000000" w:rsidRPr="00000000" w:rsidDel="00000000">
              <w:rPr>
                <w:rtl w:val="0"/>
              </w:rPr>
              <w:t xml:space="preserve"> ir nodarīti zaudējumi (kaitējums) trešajai personai</w:t>
            </w:r>
            <w:r w:rsidR="00000000" w:rsidRPr="00000000" w:rsidDel="00000000">
              <w:rPr>
                <w:u w:val="single"/>
                <w:rtl w:val="0"/>
              </w:rPr>
              <w:t xml:space="preserve">, un,</w:t>
            </w:r>
            <w:r w:rsidR="00000000" w:rsidRPr="00000000" w:rsidDel="00000000">
              <w:rPr>
                <w:rtl w:val="0"/>
              </w:rPr>
              <w:t xml:space="preserve"> kuram iestājoties paredzēta</w:t>
            </w:r>
            <w:r w:rsidR="00000000" w:rsidRPr="00000000" w:rsidDel="00000000">
              <w:rPr>
                <w:u w:val="single"/>
                <w:rtl w:val="0"/>
              </w:rPr>
              <w:t xml:space="preserve">, </w:t>
            </w:r>
            <w:r w:rsidR="00000000" w:rsidRPr="00000000" w:rsidDel="00000000">
              <w:rPr>
                <w:rtl w:val="0"/>
              </w:rPr>
              <w:t xml:space="preserve">apdrošināšanas atlīdzības izmaksa;”,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izziņa par apdrošināšanas vēsturi – Transportlīdzekļu apdrošinātāju biroja vai citas dalībvalsts kompetentās institūcijas vai apdrošināšanas sabiedrības izsniegta izziņa par apdrošināšanas atlīdzības prasījumiem saistībā ar transportlīdzekļa īpašnieka vai tiesīgā lietotāja obligāto civiltiesisko atbildību par trešajai personai nodarītajiem zaudējumiem attiecībā uz vienu vai vairākiem transportlīdzekļiem, uz kuriem attiecās apdrošināšanas līgums pēdējo piecu gadu laikā, vai par to, ka šādi apdrošināšanas atlīdzības prasījumi nav bijuši;”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"izziņas par apdrošināšanas vēsturi" definīcija labāk iederētos kā OCTA likuma 1.panta pirmās daļas 8.</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"Izziņas par apdrošināšanas vēsturi" definīcija  jāiekļauj kā OCTA likuma 1.panta pirmās daļas 8.</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"Eiropas Ekonomiskās zonas valsts transportlīdzekļa" definīcija labāk iederētos kā OCTA likuma 1.panta pirmās daļas 8.</w:t>
            </w:r>
            <w:r w:rsidR="00000000" w:rsidRPr="00000000" w:rsidDel="00000000">
              <w:rPr>
                <w:vertAlign w:val="superscript"/>
                <w:rtl w:val="0"/>
              </w:rPr>
              <w:t xml:space="preserve">1 </w:t>
            </w:r>
            <w:r w:rsidR="00000000" w:rsidRPr="00000000" w:rsidDel="00000000">
              <w:rPr>
                <w:rtl w:val="0"/>
              </w:rPr>
              <w:t xml:space="preserve">punkts. Vēl atvērts paliek jautājums, vai OCTA likumā nepieciešams iekļaut šādu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definīcija tiek saglabāta, tad tā ir jāprecizē, lai būtu saprotams, ka no jauna iekļautais termins neattiecas uz LR reģistrētajiem transportlīdzekļiem.  Ierosinām definīciju papildināt ar vārdiem iekavās "(šis termins šā likuma izpratnē netiek attiecināts uz  šā likuma 1.panta pirmās daļas 12.punktā definēto terminu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"Eiropas Ekonomikas zonas valsts" ietver arī "Eiropas Savienības dalībvalstis". Līdz ar to vārdi "Eiropas Savienības dalībvalstis" ir izslēdzami.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OCTA likumā definētā "transportlīdzeklis"  definīcija ietver šādu piebildi - "vai ir reģistrēts ārvalstī". Šī piebilde "transportlīdzekļa" definīcijā attiecas uz tiem transportlīdzekļiem,  attiecībā uz kuriem tiek slēgts robežlīgums vai Eiropas Ekonomikas zonas transportlīdzekļiem, ja tie tiek vesti no vienas dalībvalsts uz otru (dispatched vehicles" (OCTA direktīvas 2009/103/EK 15.pants).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rodas jautājums, vai vispār šāda jauna definīcija OCTA likumā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1.panta pirmo daļu ar 8.</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Eiropas Ekonomiskās zonas valsts transportlīdzeklis - sauszemes mehāniskais transportlīdzeklis, kas </w:t>
            </w:r>
            <w:r w:rsidR="00000000" w:rsidRPr="00000000" w:rsidDel="00000000">
              <w:rPr>
                <w:u w:val="single"/>
                <w:rtl w:val="0"/>
              </w:rPr>
              <w:t xml:space="preserve">ir reģistrēts vai </w:t>
            </w:r>
            <w:r w:rsidR="00000000" w:rsidRPr="00000000" w:rsidDel="00000000">
              <w:rPr>
                <w:rtl w:val="0"/>
              </w:rPr>
              <w:t xml:space="preserve">reģistrējams Eiropas Savienības dalībvalstī vai Eiropas Ekonomikas zonas valstī (</w:t>
            </w:r>
            <w:r w:rsidR="00000000" w:rsidRPr="00000000" w:rsidDel="00000000">
              <w:rPr>
                <w:u w:val="single"/>
                <w:rtl w:val="0"/>
              </w:rPr>
              <w:t xml:space="preserve">šis termins šā likuma izpratnē netiek attiecināts uz  šā likuma 1.panta pirmās daļas 12.punktā definēto terminu “transportlīdzeklis”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pirmo teikumu pēc vārdiem “lietoto transportlīdzekli” ar vārdiem “atbilstoši šā panta pirmajai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kas paredz veikt grozījumus likuma 3.panta otrajā daļā  jāizslēdz vārdi "ceļu satiksmē", jo transportlīdzekli var lietot jebkurā vietā. OCTA nepieciešama, transportlīdzekli lietojot ne tikai ceļu satiksmē, jo "ceļu satiksmes negadījuma" definīcija (atbilstoši CSL)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teikumā vārdus “par katru ceļu satiksmē lietoto transportlīdzekli” ar vārdiem “par transportlīdzekļa lietošanu atbilstoši šā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w:t>
            </w:r>
            <w:r w:rsidR="00000000" w:rsidRPr="00000000" w:rsidDel="00000000">
              <w:rPr>
                <w:vertAlign w:val="superscript"/>
                <w:rtl w:val="0"/>
              </w:rPr>
              <w:t xml:space="preserve">1 </w:t>
            </w:r>
            <w:r w:rsidR="00000000" w:rsidRPr="00000000" w:rsidDel="00000000">
              <w:rPr>
                <w:rtl w:val="0"/>
              </w:rPr>
              <w:t xml:space="preserve">panta trešajā daļā vārdus “mājaslapā internetā” ar vārdu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kas paredz veikt grozījumus likuma 4.</w:t>
            </w:r>
            <w:r w:rsidR="00000000" w:rsidRPr="00000000" w:rsidDel="00000000">
              <w:rPr>
                <w:vertAlign w:val="superscript"/>
                <w:rtl w:val="0"/>
              </w:rPr>
              <w:t xml:space="preserve">1</w:t>
            </w:r>
            <w:r w:rsidR="00000000" w:rsidRPr="00000000" w:rsidDel="00000000">
              <w:rPr>
                <w:rtl w:val="0"/>
              </w:rPr>
              <w:t xml:space="preserve"> pantā, nepieciešams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pirmo un otro daļu -  tā kā Apdrošināšanas līguma likumā ir regulēts jautājums par īguma slēgšanu attālināti (12. pants. Apdrošināšanas līguma noslēgšana, izmantojot distances saziņas līdzekli ), tad attiecīgi OCTA likumā nav nepieciešams regulēt detalizētāk.  Apdrošinātājam ir jābūt iespējai izvēlēties, kādā veidā noslēgt līgumu, attālināti vai klātienē.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w:t>
            </w:r>
            <w:r w:rsidR="00000000" w:rsidRPr="00000000" w:rsidDel="00000000">
              <w:rPr>
                <w:vertAlign w:val="superscript"/>
                <w:rtl w:val="0"/>
              </w:rPr>
              <w:t xml:space="preserve">1</w:t>
            </w:r>
            <w:r w:rsidR="00000000" w:rsidRPr="00000000" w:rsidDel="00000000">
              <w:rPr>
                <w:rtl w:val="0"/>
              </w:rPr>
              <w:t xml:space="preserve"> panta trešo daļu jaunā redakcijā (lūdzu skatīt LTAB piedāvāto redakciju), lai noteiktu, ka apdrošinātājs datus par noslēgto līgumu nodod nevis OCTA informācijas sistēmai, bet  paredzētu, ka datus nodod LTAB,  lai izvairītos lietot apzīmējumu "OCTA informācijas sistēma". Jānovērš neskaidrības ar šī termina piemērošanu praksē, jo OCTA  informācijas sistēma sastāv no atsevišķām patstāvīgām datu bāzēm un  ir to kopums.  Tā kā OCTA informācijas sistēmai nav iespējams noteikt vienotu pārzini, tad attiecīgi  "OCTA informācijas sistēma"  jāaizstāj ar "OCTA darbībai nepieciešamie dati" (grozījumi virzāmi šajā pakā vai kā priekšlikumi iesniedzami Saeimā iesniegtajiem OCTA likuma grozījumiem). Tā kā šajā normā termins "OCTA darbībai nepieciešamie dati" neiederas, tad  normā šobrīd tiek paredzēts,  ka apdrošinātāji  nodod datus LTAB. Norma jāaktualizē arī atbilstoši OCTA līguma izsniegšanai praksē - "izsniedz vai nosūta apdrošinājuma ņēmējam apdrošināšanas polisi", un datus par visiem noslēgtajiem līgumiem, tai skaitā robežapdrošināšanas līgumiem, nodod līguma noslēgšanas brīdī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termina "OCTA informācijas sistēma"  lietošanu - vēl pastāv šāds risinājums - pēdējā FM un LTAB sanāksmē š.g. augustā, kas attiecās uz jau Saeimā iesniegtajiem OCTA likuma grozījumiem,  vienojāmies, ka visā likumā “OCTA informācijas sistēma” jāaizstāj ar vārdiem “OCTA darbība”, lai varētu teikt, ka datus nodot nevis OCTA informācijas sistēmai, bet gan - ka nodod OCTA darbībai nepieciešamo informāciju. Ja virzās šādi, tad jāgroza vairāki likuma panti, turklāt, ne visos pantos var lietot “OCTA darbībai nepieciešamos datus”, un tad jālieto “datus nodod LTAB”, kā arī grozījumi veicami likuma 58.panta trešajā daļā, kas paredz deleģējumu Ministru kabinetam (MK) izdot MK noteikumus. Ja groza deleģējuma normu, tad par jaunu jāizdod paši noteikumi, t.i., MK 2007.gada 27.novembra noteikumi Nr.801 “Noteikumi par sauszemes transportlīdzekļu īpašnieku civiltiesiskās atbildības obligātās apdrošināšanas informācijas sistēmas darbībai nepieciešamo datu apjomu un veidiem, datu ievades, apmaiņas un izmantošanas kārtību” (turpmāk -  MK not. 801 par OCTA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jāprecizē tā, lai termins “OCTA informācijas sistēma” paliek, bet lai  būtu saprotams, ka šāda sistēma ir tikai sistēma nosaukuma (labākas uztveramības) pēc OCTA likuma izpratnē. Piedāvājam likuma 58.panta pirmajā daļā iekļaut nelielu papildinājumu "šā likuma izpratnē kopā tiek apzīmēti kā", kā arī izslēgt paskaidrojumu "strukturētu informācijas tehnoloģiju un datubāzu kopumu".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piedāvātā redakcija likuma 58.panta pirmajai daļai - 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w:t>
            </w:r>
            <w:r w:rsidR="00000000" w:rsidRPr="00000000" w:rsidDel="00000000">
              <w:rPr>
                <w:u w:val="single"/>
                <w:rtl w:val="0"/>
              </w:rPr>
              <w:t xml:space="preserve">šā likuma izpratnē kopā tiek apzīmēti kā</w:t>
            </w:r>
            <w:r w:rsidR="00000000" w:rsidRPr="00000000" w:rsidDel="00000000">
              <w:rPr>
                <w:rtl w:val="0"/>
              </w:rPr>
              <w:t xml:space="preserve"> sauszemes transportlīdzekļu īpašnieku civiltiesiskās atbildības obligātās apdrošināšanas informācijas </w:t>
            </w:r>
            <w:r w:rsidR="00000000" w:rsidRPr="00000000" w:rsidDel="00000000">
              <w:rPr>
                <w:u w:val="single"/>
                <w:rtl w:val="0"/>
              </w:rPr>
              <w:t xml:space="preserve">sistēma  (turpmāk </w:t>
            </w:r>
            <w:r w:rsidR="00000000" w:rsidRPr="00000000" w:rsidDel="00000000">
              <w:rPr>
                <w:rtl w:val="0"/>
              </w:rPr>
              <w:t xml:space="preserve">—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jāparedz, ka grozījumi šā likuma 4.</w:t>
            </w:r>
            <w:r w:rsidR="00000000" w:rsidRPr="00000000" w:rsidDel="00000000">
              <w:rPr>
                <w:vertAlign w:val="superscript"/>
                <w:rtl w:val="0"/>
              </w:rPr>
              <w:t xml:space="preserve">.1</w:t>
            </w:r>
            <w:r w:rsidR="00000000" w:rsidRPr="00000000" w:rsidDel="00000000">
              <w:rPr>
                <w:rtl w:val="0"/>
              </w:rPr>
              <w:t xml:space="preserve"> pantā attiecībā uz pirmās un otrās daļas izslēgšanu un trešās daļas precizēšanu, 7.panta pirmajā daļā, 8.pantā  un 9.panta ceturtajā daļā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un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w:t>
            </w:r>
            <w:r w:rsidR="00000000" w:rsidRPr="00000000" w:rsidDel="00000000">
              <w:rPr>
                <w:vertAlign w:val="superscript"/>
                <w:rtl w:val="0"/>
              </w:rPr>
              <w:t xml:space="preserve">1 </w:t>
            </w:r>
            <w:r w:rsidR="00000000" w:rsidRPr="00000000" w:rsidDel="00000000">
              <w:rPr>
                <w:rtl w:val="0"/>
              </w:rPr>
              <w:t xml:space="preserve">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Slēdzot apdrošināšanas līgumu,</w:t>
            </w:r>
            <w:r w:rsidR="00000000" w:rsidRPr="00000000" w:rsidDel="00000000">
              <w:rPr>
                <w:rtl w:val="0"/>
              </w:rPr>
              <w:t xml:space="preserve"> apdrošinātājs līguma noslēgšanas brīdī nodod datus par noslēgto līgumu T</w:t>
            </w:r>
            <w:r w:rsidR="00000000" w:rsidRPr="00000000" w:rsidDel="00000000">
              <w:rPr>
                <w:u w:val="single"/>
                <w:rtl w:val="0"/>
              </w:rPr>
              <w:t xml:space="preserve">ransportlīdzekļu apdrošinātāju birojam un izsniedz vai nosūta apdrošinājuma ņēmējam apdrošināšanas polisi </w:t>
            </w:r>
            <w:r w:rsidR="00000000" w:rsidRPr="00000000" w:rsidDel="00000000">
              <w:rPr>
                <w:rtl w:val="0"/>
              </w:rPr>
              <w:t xml:space="preserve">un norādi uz publiski pieejamu sauszemes transportlīdzekļu īpašnieku civiltiesiskās atbildības obligātās apdrošināšanas informācijas avotu </w:t>
            </w:r>
            <w:r w:rsidR="00000000" w:rsidRPr="00000000" w:rsidDel="00000000">
              <w:rPr>
                <w:u w:val="single"/>
                <w:rtl w:val="0"/>
              </w:rPr>
              <w:t xml:space="preserve">tīmekļvietnē</w:t>
            </w:r>
            <w:r w:rsidR="00000000" w:rsidRPr="00000000" w:rsidDel="00000000">
              <w:rPr>
                <w:rtl w:val="0"/>
              </w:rPr>
              <w:t xml:space="preserve">,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paredzētu veikt grozījumus likuma 7.panta pirmajā daļā,  attiecīgi mainot likumprojekta esošo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piedāvātais risinājums (lūdzu skatīt LTAB piedāvāto redakciju), izgrozot OCTA likuma 7.panta pirmo daļu,  paredz noteikt, ka Zaļo karti (ZK) izdod attiecībā uz tām valstīm, kur šobrīd nedarbojas Latvijā izdots standartlīgums, t.i.,  šobrīd ZK var izdot uz 9 valstīm, kas šajā tabulā iekrāsotas ar zaļu krāsu - https://www.ltab.lv/riki-apdrosinatajiem/kada-octa-polise-nepieciesama-arvalstis/. No 01.06.2023.  uz Krieviju un Baltkrieviju vairs nevar būt spēkā ZK, kas derīgas pēc šī datuma.  No nākamā gada Irāna arī vairs nebūs ZK sistēmas dalībvalsts. Līdz ar to faktiski runa ir par 8 valstīm, kas nav daudzpusējā nolīguma dalībvalsts un uz kurām nākotnē būtu nepieciešams izdot ZK, un viena no tām ir arī Ukraina, kur šobrīd stipri sarucis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risinājums, it īpaši tad, ja  ZK paredz iespēju to slēgt arī attālināti, samazinātu to gadījumu skaitu, kad ZK izdotas pēc CSNg, t.i., samazinātos to gadījumu skaits, kad nākas iesaistīties Latvijas Garantijas fondam (GF) zaudējumu segšanā, jo atbilstoši  Zaļās kartes sistēmas Biroju padomes (Cobx) prasībām ZK jāstājas spēkā ar konkrētās dienas plkst. laiku 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ZK ar atpakaļejošu datumu var saņemt arī EEZ valstīs, bet, ja ieviesīs jauno variantu, tad iespēja saņemt ZK ar atpakaļejošu datumu būs tikai dažās ZK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paralēli neeksistētu ZK un standartlīgums,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lielāka skaidrība, ka ZK nepieciešama tikai tur, kur nedarbojas standartlīgums.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7.panta pirmajā daļā,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7.panta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Starptautiskais apdrošināšanas līgums (Zaļā karte) ir apdrošināšanas līgums, kas tiek noslēgts attiecībā uz transportlīdzekli, kurš reģistrēts Latvijas Republikā un piedalās ceļu satiksmē valstī, kas ir Zaļās kartes sistēmas dalībvalsts, </w:t>
            </w:r>
            <w:r w:rsidR="00000000" w:rsidRPr="00000000" w:rsidDel="00000000">
              <w:rPr>
                <w:u w:val="single"/>
                <w:rtl w:val="0"/>
              </w:rPr>
              <w:t xml:space="preserve">uz kuru neattiecas 2002.gada 30.maija daudzpusējais nolīgums starp Eiropas Ekonomikas zonas dalībvalstu un citu asociēto valstu nacionālajiem apdrošināšanas birojiem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10. panta trešās daļas 9. punktā vārdu “izmantots” ar vārdu “lietots”.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8.pantā, t.i., mainot likumprojekta panta numerāciju no “4” uz “8”.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8.pantā,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panta pirmā daļa (kas šobrīd nosaka, kad apdrošinātājam ir pienākums izsniegt apdrošināšanas polisi) un trešā daļa (kas šobrīd nosaka, kad izdod apdrošināšanas polises dublikātu) satur novecojušas  normas, kas praksē nedarbojas un ir izslēdzamas.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9.pantā, t.i., mainot likumprojekta  panta numerāciju no “5” uz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ceturtās daļas pirmais teikums precizējams, lai noteiktu, ka apdrošināšanas līgums stājas spēkā apdrošināšanas līgumā noteiktajā laikā, bet ne agrāk par tā noslēgšanas brīdi un ne vēlāk kā triju mēnešu laikā pēc tā noslēgšanas. Šādi grozījumi nepieciešami, lai samazinātu ZK un robežapdrošināšanas līguma (RL) noslēgšanu pēc CSNg, ja ZK un RL slēdz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9.panta ceturtās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līgums stājas spēkā apdrošināšanas līgumā noteiktajā laikā, bet ne agrāk par tā noslēgšanas brīdi un ne vēlāk kā triju mēnešu laikā pēc tā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10.pantā, t.i., mainot likumprojekta  panta numerāciju no “6” uz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 izteikt likumprojekta 10. pantu jaunā redakcijā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papildināt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10.pantā, t.i., mainot likumprojekta  panta numerāciju no “6” uz “10”,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“izmantošanas” ar vārdu “lietošanas”,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w:t>
            </w:r>
            <w:r w:rsidR="00000000" w:rsidRPr="00000000" w:rsidDel="00000000">
              <w:rPr>
                <w:vertAlign w:val="superscript"/>
                <w:rtl w:val="0"/>
              </w:rPr>
              <w:t xml:space="preserve">2 </w:t>
            </w:r>
            <w:r w:rsidR="00000000" w:rsidRPr="00000000" w:rsidDel="00000000">
              <w:rPr>
                <w:rtl w:val="0"/>
              </w:rPr>
              <w:t xml:space="preserve">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nepieciešami, lai  turpmāk LTAB varētu paziņot par līguma izbeigšanos ne tikai OCTA likuma 10.pantā minētajos gadījumos, bet arī tajos gadījumos, kad līguma darbība ir beigusies, un transportlīdzekļa īpašnieks vai tiesīgais lietotājs nav noslēdzis jaunu līgumu. Grozījumi vērsti uz to, lai nodrošinātu nepārtrauktu OCTA spēkā esamību atbilstoši tam, kā to paredz OCTA direktīvas 3.p.  (</w:t>
            </w:r>
            <w:r w:rsidR="00000000" w:rsidRPr="00000000" w:rsidDel="00000000">
              <w:rPr>
                <w:i w:val="1"/>
                <w:rtl w:val="0"/>
              </w:rPr>
              <w:t xml:space="preserve">Katra dalībvalsts, ievērojot 5. pantu, veic visus vajadzīgos pasākumus, lai nodrošinātu to, ka civiltiesiskā atbildība par to transportlīdzekļu lietošanu, kas parasti atrodas tās teritorijā, ir apdrošināta</w:t>
            </w:r>
            <w:r w:rsidR="00000000" w:rsidRPr="00000000" w:rsidDel="00000000">
              <w:rPr>
                <w:rtl w:val="0"/>
              </w:rPr>
              <w:t xml:space="preserve">) un Eiropas Savienības Tiesu (EST) prakse OCTA lietās (skat. EST  04.09.2018. spriedumu lietā C-80/17, kur EST nosprieda, ka "</w:t>
            </w:r>
            <w:r w:rsidR="00000000" w:rsidRPr="00000000" w:rsidDel="00000000">
              <w:rPr>
                <w:i w:val="1"/>
                <w:rtl w:val="0"/>
              </w:rPr>
              <w:t xml:space="preserve">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w:t>
            </w:r>
            <w:r w:rsidR="00000000" w:rsidRPr="00000000" w:rsidDel="00000000">
              <w:rPr>
                <w:rtl w:val="0"/>
              </w:rPr>
              <w:t xml:space="preserve">", un </w:t>
            </w:r>
            <w:r w:rsidR="00000000" w:rsidRPr="00000000" w:rsidDel="00000000">
              <w:rPr>
                <w:i w:val="1"/>
                <w:rtl w:val="0"/>
              </w:rPr>
              <w:t xml:space="preserve">EST 29.04.2021. spriedumu lietā C-383/19 , kur EST nosprieda, ka "OCTA ir obligāta gadījumā, ja attiecīgais transportlīdzeklis joprojām ir reģistrēts dalībvalstī, kamēr šis transportlīdzeklis nav likumīgi izņemts no aprites atbilstoši piemērojamajam valsts tiesiskajam regulējumam</w:t>
            </w:r>
            <w:r w:rsidR="00000000" w:rsidRPr="00000000" w:rsidDel="00000000">
              <w:rPr>
                <w:rtl w:val="0"/>
              </w:rPr>
              <w:t xml:space="preserve">"). Līdz ar to tiek precizēts  likuma 9.</w:t>
            </w:r>
            <w:r w:rsidR="00000000" w:rsidRPr="00000000" w:rsidDel="00000000">
              <w:rPr>
                <w:vertAlign w:val="superscript"/>
                <w:rtl w:val="0"/>
              </w:rPr>
              <w:t xml:space="preserve">2 </w:t>
            </w:r>
            <w:r w:rsidR="00000000" w:rsidRPr="00000000" w:rsidDel="00000000">
              <w:rPr>
                <w:rtl w:val="0"/>
              </w:rPr>
              <w:t xml:space="preserve">panta nosaukums, grozījumi tiek piedāvāti 9.</w:t>
            </w:r>
            <w:r w:rsidR="00000000" w:rsidRPr="00000000" w:rsidDel="00000000">
              <w:rPr>
                <w:vertAlign w:val="superscript"/>
                <w:rtl w:val="0"/>
              </w:rPr>
              <w:t xml:space="preserve">2</w:t>
            </w:r>
            <w:r w:rsidR="00000000" w:rsidRPr="00000000" w:rsidDel="00000000">
              <w:rPr>
                <w:rtl w:val="0"/>
              </w:rPr>
              <w:t xml:space="preserve"> panta pirmajā un otrajā daļā, un 9.</w:t>
            </w:r>
            <w:r w:rsidR="00000000" w:rsidRPr="00000000" w:rsidDel="00000000">
              <w:rPr>
                <w:vertAlign w:val="superscript"/>
                <w:rtl w:val="0"/>
              </w:rPr>
              <w:t xml:space="preserve">2 </w:t>
            </w:r>
            <w:r w:rsidR="00000000" w:rsidRPr="00000000" w:rsidDel="00000000">
              <w:rPr>
                <w:rtl w:val="0"/>
              </w:rPr>
              <w:t xml:space="preserve">pants tiek papildināts ar divām jaunām daļām. Vienlaikus tiek precizēts, ka LTAB paziņojumu par līguma izbeigšanos nosūta uz LR reģistrēto  mobilo tālruņu numuriem. Ja klients būs norādījis LR nereģistrētu mobilo tālruņu numuru, informācija tiks sūtīta uz klienta norādīto e-pastu.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izslēgta  likuma 9.</w:t>
            </w:r>
            <w:r w:rsidR="00000000" w:rsidRPr="00000000" w:rsidDel="00000000">
              <w:rPr>
                <w:vertAlign w:val="superscript"/>
                <w:rtl w:val="0"/>
              </w:rPr>
              <w:t xml:space="preserve">2</w:t>
            </w:r>
            <w:r w:rsidR="00000000" w:rsidRPr="00000000" w:rsidDel="00000000">
              <w:rPr>
                <w:rtl w:val="0"/>
              </w:rPr>
              <w:t xml:space="preserve"> panta pirmās daļas 2. punktā minētā prasība par to, ka dati pēc to nosūtīšanas LTAB ir jādzēš. Dzēšot datus, apdrošinātājs nevar vairs pārliecināties, kādus datus tas nodevis LTAB, vai sarunā ar klientu par norādīto datu saturu nevar pierādīt to, ko klients ir norādījis. Tas rada problēmas arī situācijās, kad pie tā paša apdrošinātāja tiek slēgts jauns līgums, piem.,  ik pēc mēneša, no klienta nākas prasīt datus vēlreiz, lai gan tie nav mainījušies, bet, tā kā apdrošinātājam datu nav, tad tomēr tos no klienta prasa katru reizi, kas nav efektīvi. Prasības  par to, ka dati ir jādzēš,  izslēgšana nemazinās datu apstrādes standartu, jo jau šobrīd OCTA likuma 58.panta piektajā daļā ir noteikts, ka apdrošinātājs vai LTAB, iegūstot un apstrādājot fizisko personu datus, ievēro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klientiem mēdz mainīties e-pasti un  mobilā tālruņa numuri, un nav skaidrības,   kā tad kurš ir jāinformē, vieni klienti ziņo apdrošinātājiem, citi LTAB, tad attiecīgi likumā tiek paredzēts, ka klientiem vispirms jāpaziņo apdrošinātājam, un tad attiecīgi apdrošinātājs paziņo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w:t>
            </w:r>
            <w:r w:rsidR="00000000" w:rsidRPr="00000000" w:rsidDel="00000000">
              <w:rPr>
                <w:vertAlign w:val="superscript"/>
                <w:rtl w:val="0"/>
              </w:rPr>
              <w:t xml:space="preserve">2 </w:t>
            </w:r>
            <w:r w:rsidR="00000000" w:rsidRPr="00000000" w:rsidDel="00000000">
              <w:rPr>
                <w:rtl w:val="0"/>
              </w:rPr>
              <w:t xml:space="preserve">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9.</w:t>
            </w:r>
            <w:r w:rsidR="00000000" w:rsidRPr="00000000" w:rsidDel="00000000">
              <w:rPr>
                <w:vertAlign w:val="superscript"/>
                <w:rtl w:val="0"/>
              </w:rPr>
              <w:t xml:space="preserve">2 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Tiklīdz apdrošināšanas līgums ir izbeidzies kādā no šā likuma 10. panta pirmajā daļā minētajiem gadījumiem vai beidzies apdrošināšanas līguma darbības termiņš,  un transportlīdzeklim nav spēkā cits apdrošināšanas līgums, Transportlīdzekļu apdrošinātāju birojs nosūta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apdrošinātājam, kas noslēdzis apdrošināšanas līgumu,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īpašniekam vai — transportlīdzekļa līzinga gadījumā — transportlīdzekļa reģistrācijas apliecībā norādītajam transportlīdzekļa turētājam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apdrošinājuma ņēmējam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“kā arī izvērtējot” ar vārdiem “izziņā par apdrošināšanas vēsturi ietverto informāciju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11.pantā, t.i., mainot likumprojekta  panta numerāciju no “7” uz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 izteikt likumprojekta 11. pantu (attiecībā uz grozījumiem likuma 13.panta pirmajā daļā) jaunā redakcijā (lūdzu skatīt LTAB piedāvāto redakciju).  Grozījumu mērķis ir paredzēt, ka, slēdzot  apdrošināšanas līgumu, apdrošinātājs izvērtē iepriekšējo apdrošināšanas līgumu darbības laikā normatīvajos aktos noteiktajā kārtībā konstatēto gadījumu skaitu, kad transportlīdzeklis vadīts, izdarot administratīvus pārkāpumus (tajā skaitā tādus, par kuriem reģistrē pārkāpumu uzskaites punktus), neaprobežojoties tikai ar tiem administratīvajiem pārkāpumiem, par kuriem reģistrē pārkāpumu uzskaites punktus (jo, piem., pārkāpumu uzskaites punktus reģistrē, ja transportlīdzekli  aptur, ja pārkāpumu fiksē ar tehniskajiem līdzekļiem, pārkāpumu uzskaites punktus nepiemēro), kā arī paredzot, ka tiek ņemta vērā  izziņā par apdrošināšanas vēsturi ietvertā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11.pantā, t.i., mainot likumprojekta  panta numerāciju no “7” uz “11”, vienlaikus  likuma 13.panta pirmo daļu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w:t>
            </w:r>
            <w:r w:rsidR="00000000" w:rsidRPr="00000000" w:rsidDel="00000000">
              <w:rPr>
                <w:u w:val="single"/>
                <w:rtl w:val="0"/>
              </w:rPr>
              <w:t xml:space="preserve">(tajā skaitā tādus, </w:t>
            </w:r>
            <w:r w:rsidR="00000000" w:rsidRPr="00000000" w:rsidDel="00000000">
              <w:rPr>
                <w:rtl w:val="0"/>
              </w:rPr>
              <w:t xml:space="preserve">par kuriem reģistrē pārkāpumu uzskaites punktus), un noziedzīgus nodarījumus pret satiksmes drošību, </w:t>
            </w:r>
            <w:r w:rsidR="00000000" w:rsidRPr="00000000" w:rsidDel="00000000">
              <w:rPr>
                <w:u w:val="single"/>
                <w:rtl w:val="0"/>
              </w:rPr>
              <w:t xml:space="preserve">kā arī izvērtējot izziņā par apdrošināšanas vēsturi ietverto informāciju </w:t>
            </w:r>
            <w:r w:rsidR="00000000" w:rsidRPr="00000000" w:rsidDel="00000000">
              <w:rPr>
                <w:rtl w:val="0"/>
              </w:rPr>
              <w:t xml:space="preserve">un citus risku ietekmējošus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14.pantā (</w:t>
            </w:r>
            <w:r w:rsidR="00000000" w:rsidRPr="00000000" w:rsidDel="00000000">
              <w:rPr>
                <w:i w:val="1"/>
                <w:rtl w:val="0"/>
              </w:rPr>
              <w:t xml:space="preserve">izslēdzot likuma 14.panta otro, otro prim, trešo un ceturto daļu, kur šobrīd noteikts, kādos gadījumos,  slēdzot apdrošināšanas līgumu, tiek piemērotas OCTA atlaides (OCTA prēmijas samazinājums) un vienlaikus noteikts, kas šīs atlaides tiek kompensētas no OCTA GF</w:t>
            </w:r>
            <w:r w:rsidR="00000000" w:rsidRPr="00000000" w:rsidDel="00000000">
              <w:rPr>
                <w:rtl w:val="0"/>
              </w:rPr>
              <w:t xml:space="preserv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Finanšu un kapitāla tirgus komisijas (Latvijas Bankas)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14.pantā,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Izslēgt 14.panta otro, otro prim,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panta pirmajā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13.pantā, t.i., mainot likumprojekta  panta numerāciju no “8” uz “13”.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23.pantā,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likuma 23.panta otrajā daļā  aizstājot vārdus “cietušajam dzīvam”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23.pantā,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Aizstāt 23.panta otrajā daļā vārdus “cietušajam dzīvam ”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31. panta astotajā daļā vārdu “izmantojis” ar vārdu “lietojis”.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15.pantā, t.i., mainot likumprojekta  panta numerāciju no “9” uz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nepieciešami attiecībā uz vārda "cietušais" lietošanu likuma 31.pantā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kas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15.pantā, t.i., mainot likumprojekta  panta numerāciju no “9” uz “15”,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31.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“katram cietušajam” ar vārdiem “katrai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 “izmantojis” ar vārdu “lietojis”."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jauniem pantiem, kas paredz veikt grozījumus likuma 33. un 34.pantā,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jauniem pantiem, kas paredz veikt grozījumus likuma 33.un 34.pantā,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33.pantā: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“vairākiem cietušajiem” ar vārdiem “vairākām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“katra cietušā” ar vārdiem “katras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34.pantā: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18.pantā, t.i., mainot likumprojekta  panta numerāciju no “10” uz “18”, vienlaikus likuma 35.panta 5.punktā precizējama gramatikas kļūda vārdā "kartiba" uz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18.pantā, t.i., mainot likumprojekta  panta numerāciju no “10” uz “18”, vienlaikus precizējama gramatikas kļūda vārdā "kartiba" uz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19.pantā, t.i., mainot likumprojekta  panta numerāciju no “11” uz “19”.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19.pantā, t.i., mainot likumprojekta  panta numerāciju no “11” uz “19”.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20.pantā, t.i., mainot likumprojekta  panta numerāciju no “12” uz “20”.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20.pantā, t.i., mainot likumprojekta  panta numerāciju no “12” uz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grozījumi - likuma 50.panta pirmo daļu papildināt ar 7. 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apdrošinātāju, kuram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u w:val="single"/>
                <w:rtl w:val="0"/>
              </w:rPr>
              <w:t xml:space="preserve">apdrošinātāju piedāvātajām īpašnieka civiltiesiskās atbildības obligātās apdrošināšanas prēmijām pēc apdrošinājuma ņēmēja pieprasījuma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nepieciešams otro daļu papildināt ar atsauci uz likuma 50.panta pirmās daļas 7.punktu, kur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3. un </w:t>
            </w:r>
            <w:r w:rsidR="00000000" w:rsidRPr="00000000" w:rsidDel="00000000">
              <w:rPr>
                <w:u w:val="single"/>
                <w:rtl w:val="0"/>
              </w:rPr>
              <w:t xml:space="preserve">7.</w:t>
            </w:r>
            <w:r w:rsidR="00000000" w:rsidRPr="00000000" w:rsidDel="00000000">
              <w:rPr>
                <w:rtl w:val="0"/>
              </w:rPr>
              <w:t xml:space="preserve">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arī Eiropas Ekonomikas zonas valsts garantiju fondiem (kompensācijas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w:t>
            </w:r>
            <w:r w:rsidR="00000000" w:rsidRPr="00000000" w:rsidDel="00000000">
              <w:rPr>
                <w:vertAlign w:val="superscript"/>
                <w:rtl w:val="0"/>
              </w:rPr>
              <w:t xml:space="preserve">2</w:t>
            </w:r>
            <w:r w:rsidR="00000000" w:rsidRPr="00000000" w:rsidDel="00000000">
              <w:rPr>
                <w:rtl w:val="0"/>
              </w:rPr>
              <w:t xml:space="preserve"> pantu (cenu salīdzināšanas instrumenta izveide),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likumu ar 50.</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2 </w:t>
            </w:r>
            <w:r w:rsidR="00000000" w:rsidRPr="00000000" w:rsidDel="00000000">
              <w:rPr>
                <w:rtl w:val="0"/>
              </w:rPr>
              <w:t xml:space="preserve">pants. Cenu salīdzināšanas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22.pantā, t.i., mainot likumprojekta  panta numerāciju no “13” uz “22”.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22.pantā, t.i., mainot likumprojekta  panta numerāciju no “13” uz “22”.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valsts  transportlīdzeklis, attiecībā uz kura īpašnieka civiltiesiskās atbildības obligātās apdrošināšanas Latvijas Republikā reģistrētu apdrošinātāju, pasludināts maksātnespējas process vai uzsākta likvidācija;”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5. punktu nepieciešams precizēt, lai būtu saprotams, par kāda veida transportlīdzekļiem ir runa konkrētajā normā (lūdzu skatīt LTAB piedāvāto redakciju, LTAB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transportlīdzeklis</w:t>
            </w:r>
            <w:r w:rsidR="00000000" w:rsidRPr="00000000" w:rsidDel="00000000">
              <w:rPr>
                <w:u w:val="single"/>
                <w:rtl w:val="0"/>
              </w:rPr>
              <w:t xml:space="preserve"> šā likuma izpratnē </w:t>
            </w:r>
            <w:r w:rsidR="00000000" w:rsidRPr="00000000" w:rsidDel="00000000">
              <w:rPr>
                <w:rtl w:val="0"/>
              </w:rPr>
              <w:t xml:space="preserve">vai </w:t>
            </w:r>
            <w:r w:rsidR="00000000" w:rsidRPr="00000000" w:rsidDel="00000000">
              <w:rPr>
                <w:u w:val="single"/>
                <w:rtl w:val="0"/>
              </w:rPr>
              <w:t xml:space="preserve">arī citas </w:t>
            </w:r>
            <w:r w:rsidR="00000000" w:rsidRPr="00000000" w:rsidDel="00000000">
              <w:rPr>
                <w:rtl w:val="0"/>
              </w:rPr>
              <w:t xml:space="preserve">Eiropas Ekonomikas zonas valsts  transportlīdzeklis, attiecībā uz kura īpašnieka civiltiesiskās atbildības obligātās apdrošināšanas Latvijas Republikā reģistrētu apdrošinātāju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valsts  transportlīdzeklis, attiecībā uz kura īpašnieka civiltiesiskās atbildības apdrošināšanas sabiedrību pasludināts maksātnespējas process vai uzsākta likvidācija  un zaudējumi nodarīti Latvijas Republikas rezidentam.”;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11. punktu nepieciešams precizēt, lai būtu saprotams, par kāda veida transportlīdzekļiem ir runa konkrētajā normā (lūdzu skatīt LTAB piedāvāto redakciju, LTAB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transportlīdzeklis </w:t>
            </w:r>
            <w:r w:rsidR="00000000" w:rsidRPr="00000000" w:rsidDel="00000000">
              <w:rPr>
                <w:u w:val="single"/>
                <w:rtl w:val="0"/>
              </w:rPr>
              <w:t xml:space="preserve">šā likuma izpratnē </w:t>
            </w:r>
            <w:r w:rsidR="00000000" w:rsidRPr="00000000" w:rsidDel="00000000">
              <w:rPr>
                <w:rtl w:val="0"/>
              </w:rPr>
              <w:t xml:space="preserve">vai </w:t>
            </w:r>
            <w:r w:rsidR="00000000" w:rsidRPr="00000000" w:rsidDel="00000000">
              <w:rPr>
                <w:u w:val="single"/>
                <w:rtl w:val="0"/>
              </w:rPr>
              <w:t xml:space="preserve">arī citas</w:t>
            </w:r>
            <w:r w:rsidR="00000000" w:rsidRPr="00000000" w:rsidDel="00000000">
              <w:rPr>
                <w:rtl w:val="0"/>
              </w:rPr>
              <w:t xml:space="preserve"> Eiropas Ekonomikas zonas valsts  transportlīdzeklis, attiecībā uz kura īpašnieka civiltiesiskās atbildības apdrošināšanas sabiedrību pasludināts maksātnespējas process vai uzsākta likvidācija  un zaudējumi nodarīti Latvijas Republikas rezidentam.”.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51.pantā nepieciešami vēl šādi grozījumi (lūdzu skatīt arī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izslēgt  likuma 51.panta trešās daļas 2.punktu, kur šobrīd noteikts, ka no GF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likuma 51.panta devītajā daļā noteikts, ka GF izveidošanas, uzkrāšanas un administrēšanas kārtību nosaka Ministru kabinets. Šī norma būtu precizējama, pasakot, ka arī atskaitījumu kārtību GF-ā nosaka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AAS likvidācijas/maksātnespējas gadījumā pārrobežu gadījumos, jo par maksātnespējas/likvidācijas risku GF finansējumu var prasīt tikai no LV reģistrētajām AAS. Apsverams jautājums, vai grozījumi nav nepieciešami arī OCTA likuma 51.panta devītajā daļā, kas paredz MK izdot noteikumus. Izvērtējams, vai šeit nebūtu jāparedz, ka MK ir tiesības noteikt atskaitījumu GF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Garantijas fonda izveidošanas, uzkrāšanas un administrēšanas kārtību, kā arī apdrošinātāju iemaksu apmēru nosaka Ministru kabinets. Garantijas fonda izveidošanas, uzkrāšanas un administrēšanas kārtības ievērošanu uzrauga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policijas darbinieks ir tiesīgs pārliecināties par apdrošināšanas līguma spēkā esamību, izmantojot datus, kuri ir pieejami sauszemes transportlīdzekļu īpašnieku civiltiesiskās atbildības obligātās apdrošināšanas informācijas sistēmā, vai pēc apdrošināšanas polises, ja tā ir izsniegta, vai pēc datiem, kas fiksēti ar tehniskajiem līdzekļiem, neapturot transportlīdzekli”.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23.pantā, t.i., mainot likumprojekta  panta numerāciju no “14” uz “23”.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23.pantā, t.i., mainot likumprojekta  panta numerāciju no “14” uz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nepieciešams papildināt ar jauniem pantiem, kas paredz veikt grozījumus likuma 54., 57. un 58.pantā,  attiecīgi mainot likumprojekta esošo pantu numerāciju (lūdzu skatīt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54.panta otrās daļas 3.punktā jāprecizē vārda “cietušais" lietojums - OCTA likumā netiek definēts, kas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57.panta otrajā daļā jāizslēdz 2.teikums, kas nosaka, kā tiek aprēķināta parakstītā apdrošināšanas prēmija tajos gadījumos, kad tiek piemērotas OCTA likuma 14.pantā noteiktās OCTA atlaides.  -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58.panta pirmo daļu  nepieciešams precizēt, paskaidrojot, kas domāts ar OCTA likumā lietoto terminoloģiju "OCTA informācijas sistēma", paskaidrojot, ka tikai OCTA likuma izpratnē apdrošinātāju, LTAB, Ceļu satiksmes drošības direkcijas, Valsts tehniskās uzraudzības aģentūras, Autotransporta direkcijas, Iekšlietu ministrijas un citu institūciju informācijas sistēmas un reģistri kopā tiek apzīmēti kā sauszemes transportlīdzekļu īpašnieku civiltiesiskās atbildības obligātās apdrošināšanas informācijas sistēma, t.i., ka šī sistēma praksē neeksistē kā viena vienota informācijas sistēma, kurai  būtu nepieciešams noteikt vienotu sistēmas pārzini.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FM un LTAB sanāksmē š.g. augustā, kas attiecās uz jau Saeimā iesniegtajiem OCTA likuma grozījumiem,  vienojāmies, ka visā likumā “OCTA informācijas sistēma” jāaizstāj ar vārdiem “OCTA darbība”, lai varētu teikt, ka datus nodot nevis OCTA informācijas sistēmai, bet gan - ka  nodod OCTA darbībai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virzās šādi, tad jāgroza vairāki likuma panti, turklāt, ne visos pantos var lietot “OCTA darbībai nepieciešamos datus”, un tad jālieto “datus nodod LTAB”, kā arī grozījumi veicami likuma 58.panta trešajā daļā, kas paredz deleģējumu MK izdot MK not. Ja groza deleģējuma normu, tad par jaunu jāizdod paši noteikumi, t.i., MK not. 801 par OCTA informācijas sistēmu vietā jāizdod jauni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likuma 58.panta pirmā daļā iekļaut nelielu papildinājumu "šā likuma izpratnē kopā tiek apzīmēti kā", kā arī izslēgt paskaidrojumu "strukturētu informācijas tehnoloģiju un datubāzu kopumu" (lūdzu skatīt LTAB piedāvāto redakciju).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jauniem pantiem, kas paredz veikt grozījumus likuma 54., 57. un 58.pantā,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54.panta otrās daļas 3.punktu pēc vārda “cietušo” ar vārdu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Izslēgt 57.panta otrās daļas 2.teikumu.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w:t>
            </w:r>
            <w:r w:rsidR="00000000" w:rsidRPr="00000000" w:rsidDel="00000000">
              <w:rPr>
                <w:u w:val="single"/>
                <w:rtl w:val="0"/>
              </w:rPr>
              <w:t xml:space="preserve">šā likuma izpratnē kopā tiek apzīmēti kā </w:t>
            </w:r>
            <w:r w:rsidR="00000000" w:rsidRPr="00000000" w:rsidDel="00000000">
              <w:rPr>
                <w:rtl w:val="0"/>
              </w:rPr>
              <w:t xml:space="preserve">sauszemes transportlīdzekļu īpašnieku civiltiesiskās atbildības obligātās apdrošināšanas informācijas </w:t>
            </w:r>
            <w:r w:rsidR="00000000" w:rsidRPr="00000000" w:rsidDel="00000000">
              <w:rPr>
                <w:u w:val="single"/>
                <w:rtl w:val="0"/>
              </w:rPr>
              <w:t xml:space="preserve">sistēma  (turpmāk —</w:t>
            </w:r>
            <w:r w:rsidR="00000000" w:rsidRPr="00000000" w:rsidDel="00000000">
              <w:rPr>
                <w:rtl w:val="0"/>
              </w:rPr>
              <w:t xml:space="preserve">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27.pantā, t.i., mainot likumprojekta  panta numerāciju no “15” uz “27”, vienlaikus pārejas noteikumus izsakot jaunā redakcijā (lūdzu skatīt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precizēti, lai atsevišķiem grozījumiem noteiktu vēlāku spēkā stāšanās laiku.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27.pantā, t.i., mainot likumprojekta  panta numerāciju no “15” uz “27”, vienlaikus pārejas noteikumus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Papildināt pārejas noteikumus ar 27., 28., 29., 30, 31. un 32.punktu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pirmās daļas 8.</w:t>
            </w:r>
            <w:r w:rsidR="00000000" w:rsidRPr="00000000" w:rsidDel="00000000">
              <w:rPr>
                <w:vertAlign w:val="superscript"/>
                <w:rtl w:val="0"/>
              </w:rPr>
              <w:t xml:space="preserve">2</w:t>
            </w:r>
            <w:r w:rsidR="00000000" w:rsidRPr="00000000" w:rsidDel="00000000">
              <w:rPr>
                <w:rtl w:val="0"/>
              </w:rPr>
              <w:t xml:space="preserve"> punkts, grozījumi 13. panta pirmajā daļā, 13. panta 1.1 daļa un grozījumi 50. panta pirmās daļas 1. punktā  stājas spēkā 2024. gada 23.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Grozījumi  šā likuma 4.</w:t>
            </w:r>
            <w:r w:rsidR="00000000" w:rsidRPr="00000000" w:rsidDel="00000000">
              <w:rPr>
                <w:vertAlign w:val="superscript"/>
                <w:rtl w:val="0"/>
              </w:rPr>
              <w:t xml:space="preserve">1 </w:t>
            </w:r>
            <w:r w:rsidR="00000000" w:rsidRPr="00000000" w:rsidDel="00000000">
              <w:rPr>
                <w:rtl w:val="0"/>
              </w:rPr>
              <w:t xml:space="preserve">pantā attiecībā uz pirmās un otrās daļas izslēgšanu un trešās daļas precizēšanu, 7.panta pirmajā daļā, 8.panta pirmās un trešās daļas izslēgšanu un 9.panta ceturtās daļas 1.teikuma precizēšanu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šā likuma 9.</w:t>
            </w:r>
            <w:r w:rsidR="00000000" w:rsidRPr="00000000" w:rsidDel="00000000">
              <w:rPr>
                <w:vertAlign w:val="superscript"/>
                <w:rtl w:val="0"/>
              </w:rPr>
              <w:t xml:space="preserve">2</w:t>
            </w:r>
            <w:r w:rsidR="00000000" w:rsidRPr="00000000" w:rsidDel="00000000">
              <w:rPr>
                <w:rtl w:val="0"/>
              </w:rPr>
              <w:t xml:space="preserve"> pantā stājas spēkā 2024. gada 1. aprīlī un piemērojami apdrošināšanas līgumiem, kas noslēgti, sākot ar 2024.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šā likuma 12.pantā attiecībā uz panta papildināšanu ar trešo daļu, 50.panta pirmajā daļā attiecībā uz daļas papildināšanu ar 7.punktu  un otrajā daļā ar  atsauci uz  pirmās daļas 7.punktu un 50.</w:t>
            </w:r>
            <w:r w:rsidR="00000000" w:rsidRPr="00000000" w:rsidDel="00000000">
              <w:rPr>
                <w:vertAlign w:val="superscript"/>
                <w:rtl w:val="0"/>
              </w:rPr>
              <w:t xml:space="preserve">2</w:t>
            </w:r>
            <w:r w:rsidR="00000000" w:rsidRPr="00000000" w:rsidDel="00000000">
              <w:rPr>
                <w:rtl w:val="0"/>
              </w:rPr>
              <w:t xml:space="preserve"> pants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šā likuma 14.pantā attiecībā uz otrās, otrās prim, trešās un ceturtās daļas izslēgšanu, grozījumi šā likuma 51.pantā attiecībā uz trešās daļas 2.punkta izslēgšanu un grozījumi 57.pantā attiecībā uz otrās daļas 2.teikuma izslēgšanu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24.08.2023.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24.08.2023.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